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72BA" w14:textId="52B31B75" w:rsidR="00DD185F" w:rsidRPr="00291120" w:rsidRDefault="00DD185F" w:rsidP="00EC7C79">
      <w:pPr>
        <w:pStyle w:val="Header"/>
        <w:jc w:val="center"/>
      </w:pPr>
      <w:r w:rsidRPr="00291120">
        <w:t xml:space="preserve">Biochemical and structural </w:t>
      </w:r>
      <w:r w:rsidR="00565751" w:rsidRPr="00291120">
        <w:t>investigation</w:t>
      </w:r>
      <w:r w:rsidR="008260E9">
        <w:t>s</w:t>
      </w:r>
      <w:r w:rsidRPr="00291120">
        <w:t xml:space="preserve"> of </w:t>
      </w:r>
      <w:r w:rsidR="00565751" w:rsidRPr="00291120">
        <w:t xml:space="preserve">putative </w:t>
      </w:r>
      <w:r w:rsidRPr="00291120">
        <w:t xml:space="preserve">pseudomonal </w:t>
      </w:r>
      <w:r w:rsidR="00565751" w:rsidRPr="00291120">
        <w:t>prolyl</w:t>
      </w:r>
      <w:r w:rsidRPr="00291120">
        <w:t xml:space="preserve"> 4 </w:t>
      </w:r>
      <w:proofErr w:type="gramStart"/>
      <w:r w:rsidR="00565751" w:rsidRPr="00291120">
        <w:t>hydroxylase</w:t>
      </w:r>
      <w:proofErr w:type="gramEnd"/>
      <w:r w:rsidR="00D451DA" w:rsidRPr="00291120">
        <w:t xml:space="preserve"> involved in the resistance to siderophore conjugated antibiotics </w:t>
      </w:r>
    </w:p>
    <w:p w14:paraId="4FDF177F" w14:textId="77777777" w:rsidR="00DD185F" w:rsidRPr="00291120" w:rsidRDefault="00DD185F" w:rsidP="00EC7C79">
      <w:pPr>
        <w:pStyle w:val="Header"/>
        <w:jc w:val="center"/>
      </w:pPr>
    </w:p>
    <w:p w14:paraId="039F8FDA" w14:textId="1F8A4166" w:rsidR="00EC7C79" w:rsidRPr="00291120" w:rsidRDefault="00EC7C79" w:rsidP="00EC7C79">
      <w:pPr>
        <w:spacing w:line="240" w:lineRule="auto"/>
        <w:jc w:val="center"/>
        <w:rPr>
          <w:rFonts w:eastAsia="Times New Roman" w:cs="Calibri"/>
        </w:rPr>
      </w:pPr>
      <w:r w:rsidRPr="00291120">
        <w:rPr>
          <w:rFonts w:eastAsia="Times New Roman" w:cs="Calibri"/>
        </w:rPr>
        <w:t>Faisal M. Alshref</w:t>
      </w:r>
      <w:r w:rsidRPr="00291120">
        <w:rPr>
          <w:rFonts w:eastAsia="Times New Roman" w:cs="Calibri"/>
          <w:vertAlign w:val="superscript"/>
        </w:rPr>
        <w:t>1, 2, 3</w:t>
      </w:r>
      <w:r w:rsidRPr="00291120">
        <w:rPr>
          <w:rFonts w:eastAsia="Times New Roman" w:cs="Calibri"/>
        </w:rPr>
        <w:t>, Karina Calvopina Tapia</w:t>
      </w:r>
      <w:r w:rsidRPr="00291120">
        <w:rPr>
          <w:rFonts w:eastAsia="Times New Roman" w:cs="Calibri"/>
          <w:vertAlign w:val="superscript"/>
        </w:rPr>
        <w:t>1</w:t>
      </w:r>
      <w:r w:rsidRPr="00291120">
        <w:rPr>
          <w:rFonts w:eastAsia="Times New Roman" w:cs="Calibri"/>
        </w:rPr>
        <w:t>, Nattapong Sanguankiattichai</w:t>
      </w:r>
      <w:r w:rsidRPr="00291120">
        <w:rPr>
          <w:rFonts w:eastAsia="Times New Roman" w:cs="Calibri"/>
          <w:vertAlign w:val="superscript"/>
        </w:rPr>
        <w:t>4</w:t>
      </w:r>
      <w:r w:rsidRPr="00291120">
        <w:rPr>
          <w:rFonts w:eastAsia="Times New Roman" w:cs="Calibri"/>
        </w:rPr>
        <w:t>, Mark D. Allen</w:t>
      </w:r>
      <w:r w:rsidRPr="00291120">
        <w:rPr>
          <w:rFonts w:eastAsia="Times New Roman" w:cs="Calibri"/>
          <w:vertAlign w:val="superscript"/>
        </w:rPr>
        <w:t>1</w:t>
      </w:r>
      <w:r w:rsidRPr="00291120">
        <w:rPr>
          <w:rFonts w:eastAsia="Times New Roman" w:cs="Calibri"/>
        </w:rPr>
        <w:t>, Gail Preston</w:t>
      </w:r>
      <w:r w:rsidRPr="00291120">
        <w:rPr>
          <w:rFonts w:eastAsia="Times New Roman" w:cs="Calibri"/>
          <w:vertAlign w:val="superscript"/>
        </w:rPr>
        <w:t>4</w:t>
      </w:r>
      <w:r w:rsidRPr="00291120">
        <w:rPr>
          <w:rFonts w:eastAsia="Times New Roman" w:cs="Calibri"/>
        </w:rPr>
        <w:t xml:space="preserve"> and Christopher J. Schofield1*</w:t>
      </w:r>
    </w:p>
    <w:p w14:paraId="2D509900" w14:textId="2DA98072" w:rsidR="0089628E" w:rsidRPr="00291120" w:rsidRDefault="00EC7C79" w:rsidP="00EC7C79">
      <w:pPr>
        <w:spacing w:line="240" w:lineRule="auto"/>
        <w:jc w:val="both"/>
        <w:rPr>
          <w:rFonts w:eastAsia="Times New Roman" w:cs="Calibri"/>
        </w:rPr>
      </w:pPr>
      <w:r w:rsidRPr="00291120">
        <w:rPr>
          <w:rFonts w:eastAsia="Times New Roman" w:cs="Calibri"/>
          <w:vertAlign w:val="superscript"/>
        </w:rPr>
        <w:t xml:space="preserve">1 </w:t>
      </w:r>
      <w:r w:rsidRPr="00291120">
        <w:rPr>
          <w:rFonts w:eastAsia="Times New Roman" w:cs="Calibri"/>
        </w:rPr>
        <w:t>Department of Chemistry and the INEOS Oxford Institute for Antimicrobial Research, University of Oxford, 12 Mansfield Road, OX1 3TA, Oxford, United Kingdom.</w:t>
      </w:r>
    </w:p>
    <w:p w14:paraId="0BC66CCA" w14:textId="5AB170AD" w:rsidR="00EC7C79" w:rsidRPr="00291120" w:rsidRDefault="00EC7C79" w:rsidP="00EC7C79">
      <w:pPr>
        <w:spacing w:line="240" w:lineRule="auto"/>
        <w:jc w:val="both"/>
        <w:rPr>
          <w:rFonts w:eastAsia="Times New Roman" w:cs="Calibri"/>
        </w:rPr>
      </w:pPr>
      <w:r w:rsidRPr="00291120">
        <w:rPr>
          <w:rFonts w:eastAsia="Times New Roman" w:cs="Calibri"/>
          <w:vertAlign w:val="superscript"/>
        </w:rPr>
        <w:t>2</w:t>
      </w:r>
      <w:r w:rsidRPr="00291120">
        <w:rPr>
          <w:rFonts w:eastAsia="Times New Roman" w:cs="Calibri"/>
        </w:rPr>
        <w:t>Department of Biochemistry, Faculty of Science, King Abdul-Aziz University, Jeddah, Kingdom of Saudi Arabia</w:t>
      </w:r>
      <w:r w:rsidRPr="00291120">
        <w:t xml:space="preserve">. </w:t>
      </w:r>
    </w:p>
    <w:p w14:paraId="5648415F" w14:textId="77777777" w:rsidR="00EC7C79" w:rsidRPr="00291120" w:rsidRDefault="00EC7C79" w:rsidP="00EC7C79">
      <w:pPr>
        <w:spacing w:line="240" w:lineRule="auto"/>
        <w:jc w:val="both"/>
        <w:rPr>
          <w:rFonts w:eastAsia="Times New Roman" w:cs="Calibri"/>
        </w:rPr>
      </w:pPr>
      <w:r w:rsidRPr="00291120">
        <w:rPr>
          <w:rFonts w:eastAsia="Times New Roman" w:cs="Calibri"/>
          <w:vertAlign w:val="superscript"/>
        </w:rPr>
        <w:t>3</w:t>
      </w:r>
      <w:r w:rsidRPr="00291120">
        <w:t xml:space="preserve"> </w:t>
      </w:r>
      <w:r w:rsidRPr="00291120">
        <w:rPr>
          <w:rFonts w:eastAsia="Times New Roman" w:cs="Calibri"/>
        </w:rPr>
        <w:t xml:space="preserve">Centre of Artificial Intelligence for Precision Medicines (CAIPM), University of Oxford, OX1 3TA, Oxford, United Kingdom.  </w:t>
      </w:r>
    </w:p>
    <w:p w14:paraId="0C50093E" w14:textId="1C0E5CAE" w:rsidR="008E7A14" w:rsidRPr="00291120" w:rsidRDefault="00EC7C79" w:rsidP="0089628E">
      <w:pPr>
        <w:spacing w:line="240" w:lineRule="auto"/>
        <w:jc w:val="both"/>
        <w:rPr>
          <w:rFonts w:eastAsia="Times New Roman" w:cs="Calibri"/>
        </w:rPr>
      </w:pPr>
      <w:r w:rsidRPr="00291120">
        <w:rPr>
          <w:rFonts w:eastAsia="Times New Roman" w:cs="Calibri"/>
          <w:vertAlign w:val="superscript"/>
        </w:rPr>
        <w:t>4</w:t>
      </w:r>
      <w:r w:rsidRPr="00291120">
        <w:t xml:space="preserve"> </w:t>
      </w:r>
      <w:r w:rsidRPr="00291120">
        <w:rPr>
          <w:rFonts w:eastAsia="Times New Roman" w:cs="Calibri"/>
        </w:rPr>
        <w:t>Department of Biology, University of Oxford, 12 Mansfield Road, OX1 3TA, Oxford, United Kingdom.</w:t>
      </w:r>
    </w:p>
    <w:p w14:paraId="2CD3A7A2" w14:textId="08E340EF" w:rsidR="00BA3290" w:rsidRPr="00291120" w:rsidRDefault="003E107E" w:rsidP="00E74EC1">
      <w:pPr>
        <w:spacing w:line="240" w:lineRule="auto"/>
      </w:pPr>
      <w:r w:rsidRPr="00291120">
        <w:t xml:space="preserve">Fe (II)/2-oxoglutarte – dependent dioxygenases are widely spread among different domains of </w:t>
      </w:r>
      <w:r w:rsidR="00AC1D26" w:rsidRPr="00291120">
        <w:t>life;</w:t>
      </w:r>
      <w:r w:rsidRPr="00291120">
        <w:t xml:space="preserve"> </w:t>
      </w:r>
      <w:r w:rsidR="00AC1D26" w:rsidRPr="00291120">
        <w:t>t</w:t>
      </w:r>
      <w:r w:rsidRPr="00291120">
        <w:t>hey are considered the largest nonheme oxidising enzymes</w:t>
      </w:r>
      <w:r w:rsidR="00AC1D26" w:rsidRPr="00291120">
        <w:t xml:space="preserve"> </w:t>
      </w:r>
      <w:r w:rsidRPr="00291120">
        <w:fldChar w:fldCharType="begin">
          <w:fldData xml:space="preserve">PEVuZE5vdGU+PENpdGU+PEF1dGhvcj5TbGFtYTwvQXV0aG9yPjxZZWFyPjIwMTY8L1llYXI+PFJl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</w:fldData>
        </w:fldChar>
      </w:r>
      <w:r w:rsidRPr="00291120">
        <w:instrText xml:space="preserve"> ADDIN EN.CITE </w:instrText>
      </w:r>
      <w:r w:rsidRPr="00291120">
        <w:fldChar w:fldCharType="begin">
          <w:fldData xml:space="preserve">PEVuZE5vdGU+PENpdGU+PEF1dGhvcj5TbGFtYTwvQXV0aG9yPjxZZWFyPjIwMTY8L1llYXI+PFJl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</w:fldData>
        </w:fldChar>
      </w:r>
      <w:r w:rsidRPr="00291120">
        <w:instrText xml:space="preserve"> ADDIN EN.CITE.DATA </w:instrText>
      </w:r>
      <w:r w:rsidRPr="00291120">
        <w:fldChar w:fldCharType="end"/>
      </w:r>
      <w:r w:rsidRPr="00291120">
        <w:fldChar w:fldCharType="separate"/>
      </w:r>
      <w:r w:rsidRPr="00291120">
        <w:rPr>
          <w:noProof/>
        </w:rPr>
        <w:t>(1)</w:t>
      </w:r>
      <w:r w:rsidRPr="00291120">
        <w:fldChar w:fldCharType="end"/>
      </w:r>
      <w:r w:rsidRPr="00291120">
        <w:t xml:space="preserve">. </w:t>
      </w:r>
      <w:r w:rsidR="00AC1D26" w:rsidRPr="00291120">
        <w:t>Despite</w:t>
      </w:r>
      <w:r w:rsidRPr="00291120">
        <w:t xml:space="preserve"> having a conserved structural topology represented in the </w:t>
      </w:r>
      <w:r w:rsidR="0089628E" w:rsidRPr="00291120">
        <w:t xml:space="preserve">double </w:t>
      </w:r>
      <w:r w:rsidRPr="00291120">
        <w:t xml:space="preserve">strand </w:t>
      </w:r>
      <w:r w:rsidR="00A0798B" w:rsidRPr="00291120">
        <w:rPr>
          <w:rStyle w:val="Emphasis"/>
        </w:rPr>
        <w:t>β</w:t>
      </w:r>
      <w:r w:rsidR="00A0798B" w:rsidRPr="00291120">
        <w:rPr>
          <w:rStyle w:val="Emphasis"/>
        </w:rPr>
        <w:t xml:space="preserve"> helix </w:t>
      </w:r>
      <w:r w:rsidR="00860489" w:rsidRPr="00291120">
        <w:t>enclosing</w:t>
      </w:r>
      <w:r w:rsidR="00D9007D" w:rsidRPr="00291120">
        <w:t xml:space="preserve"> </w:t>
      </w:r>
      <w:r w:rsidR="00DA126C">
        <w:t>the active site repres</w:t>
      </w:r>
      <w:r w:rsidR="005325DD">
        <w:t>ent</w:t>
      </w:r>
      <w:r w:rsidR="00DA126C">
        <w:t xml:space="preserve">ed in the </w:t>
      </w:r>
      <w:r w:rsidR="00AC1D26" w:rsidRPr="00291120">
        <w:t xml:space="preserve">catalytic triad </w:t>
      </w:r>
      <w:proofErr w:type="spellStart"/>
      <w:r w:rsidR="00AC1D26" w:rsidRPr="00291120">
        <w:t>HxD</w:t>
      </w:r>
      <w:proofErr w:type="spellEnd"/>
      <w:r w:rsidR="00AC1D26" w:rsidRPr="00291120">
        <w:t>-H</w:t>
      </w:r>
      <w:r w:rsidRPr="00291120">
        <w:t xml:space="preserve">, they </w:t>
      </w:r>
      <w:r w:rsidR="00C84F1A" w:rsidRPr="00291120">
        <w:t>catalyse</w:t>
      </w:r>
      <w:r w:rsidRPr="00291120">
        <w:t xml:space="preserve"> different enzymatic reaction including hydroxylation and demethylation</w:t>
      </w:r>
      <w:r w:rsidR="00860489" w:rsidRPr="00291120">
        <w:t xml:space="preserve"> </w:t>
      </w:r>
      <w:r w:rsidR="00290D22" w:rsidRPr="00291120">
        <w:t xml:space="preserve">of </w:t>
      </w:r>
      <w:r w:rsidR="00860489" w:rsidRPr="00291120">
        <w:t>different subst</w:t>
      </w:r>
      <w:r w:rsidR="00135492" w:rsidRPr="00291120">
        <w:t>rate targets</w:t>
      </w:r>
      <w:r w:rsidR="00CF4A5E" w:rsidRPr="00291120">
        <w:t xml:space="preserve"> </w:t>
      </w:r>
      <w:r w:rsidRPr="00291120">
        <w:fldChar w:fldCharType="begin"/>
      </w:r>
      <w:r w:rsidRPr="00291120">
        <w:instrText xml:space="preserve"> ADDIN EN.CITE &lt;EndNote&gt;&lt;Cite&gt;&lt;Author&gt;Culpepper&lt;/Author&gt;&lt;Year&gt;2010&lt;/Year&gt;&lt;RecNum&gt;338&lt;/RecNum&gt;&lt;DisplayText&gt;(2)&lt;/DisplayText&gt;&lt;record&gt;&lt;rec-number&gt;338&lt;/rec-number&gt;&lt;foreign-keys&gt;&lt;key app="EN" db-id="adw290dv3x5wedevpacpeszcv9aszt5pd00d" timestamp="1705882009" guid="78d15442-9a62-407e-96d4-e21ad39513f5"&gt;338&lt;/key&gt;&lt;/foreign-keys&gt;&lt;ref-type name="Journal Article"&gt;17&lt;/ref-type&gt;&lt;contributors&gt;&lt;authors&gt;&lt;author&gt;Culpepper, M. A.&lt;/author&gt;&lt;author&gt;Scott, E. E.&lt;/author&gt;&lt;author&gt;Limburg, J.&lt;/author&gt;&lt;/authors&gt;&lt;/contributors&gt;&lt;auth-address&gt;Department of Chemistry, University of Kansas, 1251 Wescoe Hall Drive, Lawrence, Kansas 66045, USA.&lt;/auth-address&gt;&lt;titles&gt;&lt;title&gt;Crystal structure of prolyl 4-hydroxylase from Bacillus anthracis&lt;/title&gt;&lt;secondary-title&gt;Biochemistry&lt;/secondary-title&gt;&lt;/titles&gt;&lt;periodical&gt;&lt;full-title&gt;Biochemistry&lt;/full-title&gt;&lt;/periodical&gt;&lt;pages&gt;124-33&lt;/pages&gt;&lt;volume&gt;49&lt;/volume&gt;&lt;number&gt;1&lt;/number&gt;&lt;keywords&gt;&lt;keyword&gt;Bacillus anthracis/*enzymology/metabolism&lt;/keyword&gt;&lt;keyword&gt;Bacterial Proteins/*chemistry/metabolism&lt;/keyword&gt;&lt;keyword&gt;Binding Sites&lt;/keyword&gt;&lt;keyword&gt;Catalytic Domain&lt;/keyword&gt;&lt;keyword&gt;Crystallography, X-Ray&lt;/keyword&gt;&lt;keyword&gt;Models, Molecular&lt;/keyword&gt;&lt;keyword&gt;Procollagen-Proline Dioxygenase/*chemistry/metabolism&lt;/keyword&gt;&lt;keyword&gt;Protein Conformation&lt;/keyword&gt;&lt;/keywords&gt;&lt;dates&gt;&lt;year&gt;2010&lt;/year&gt;&lt;pub-dates&gt;&lt;date&gt;Jan 12&lt;/date&gt;&lt;/pub-dates&gt;&lt;/dates&gt;&lt;isbn&gt;0006-2960 (Print)&amp;#xD;0006-2960&lt;/isbn&gt;&lt;accession-num&gt;19947658&lt;/accession-num&gt;&lt;urls&gt;&lt;/urls&gt;&lt;custom2&gt;PMC2806640&lt;/custom2&gt;&lt;custom6&gt;NIHMS162960&lt;/custom6&gt;&lt;electronic-resource-num&gt;10.1021/bi901771z&lt;/electronic-resource-num&gt;&lt;remote-database-provider&gt;NLM&lt;/remote-database-provider&gt;&lt;language&gt;eng&lt;/language&gt;&lt;/record&gt;&lt;/Cite&gt;&lt;/EndNote&gt;</w:instrText>
      </w:r>
      <w:r w:rsidRPr="00291120">
        <w:fldChar w:fldCharType="separate"/>
      </w:r>
      <w:r w:rsidRPr="00291120">
        <w:rPr>
          <w:noProof/>
        </w:rPr>
        <w:t>(2)</w:t>
      </w:r>
      <w:r w:rsidRPr="00291120">
        <w:fldChar w:fldCharType="end"/>
      </w:r>
      <w:r w:rsidRPr="00291120">
        <w:t xml:space="preserve">. The best examples in </w:t>
      </w:r>
      <w:r w:rsidR="00135492" w:rsidRPr="00291120">
        <w:t>animals</w:t>
      </w:r>
      <w:r w:rsidRPr="00291120">
        <w:t xml:space="preserve"> are represented in the prolyl-4-hydroxylases (P4H</w:t>
      </w:r>
      <w:r w:rsidR="002D5B2A" w:rsidRPr="00291120">
        <w:t>s</w:t>
      </w:r>
      <w:r w:rsidRPr="00291120">
        <w:t>) which involve</w:t>
      </w:r>
      <w:r w:rsidR="00356F91" w:rsidRPr="00291120">
        <w:t>s</w:t>
      </w:r>
      <w:r w:rsidRPr="00291120">
        <w:t xml:space="preserve"> oxygen sensing, protein translational machinery and collagen biosynthesis</w:t>
      </w:r>
      <w:r w:rsidR="00D0502E" w:rsidRPr="00291120">
        <w:t>.</w:t>
      </w:r>
      <w:r w:rsidR="00D232ED" w:rsidRPr="00291120">
        <w:t xml:space="preserve"> </w:t>
      </w:r>
      <w:r w:rsidRPr="00291120">
        <w:t xml:space="preserve">Putative P4Hs have been identified in </w:t>
      </w:r>
      <w:r w:rsidR="00F36CF4" w:rsidRPr="00291120">
        <w:rPr>
          <w:rStyle w:val="Emphasis"/>
        </w:rPr>
        <w:t>Bacillus anthracis</w:t>
      </w:r>
      <w:r w:rsidRPr="00291120">
        <w:rPr>
          <w:i/>
          <w:iCs/>
        </w:rPr>
        <w:t xml:space="preserve">, </w:t>
      </w:r>
      <w:r w:rsidR="00BA4FF3" w:rsidRPr="00291120">
        <w:rPr>
          <w:rStyle w:val="Emphasis"/>
        </w:rPr>
        <w:t>Pseudomonas aeruginosa</w:t>
      </w:r>
      <w:r w:rsidR="00BA4FF3" w:rsidRPr="00291120">
        <w:rPr>
          <w:i/>
          <w:iCs/>
        </w:rPr>
        <w:t xml:space="preserve"> </w:t>
      </w:r>
      <w:r w:rsidRPr="00291120">
        <w:rPr>
          <w:i/>
          <w:iCs/>
        </w:rPr>
        <w:t xml:space="preserve">and </w:t>
      </w:r>
      <w:r w:rsidR="000120B7" w:rsidRPr="00291120">
        <w:rPr>
          <w:rStyle w:val="Emphasis"/>
        </w:rPr>
        <w:t>Paramecium bursaria</w:t>
      </w:r>
      <w:r w:rsidR="000120B7" w:rsidRPr="00291120">
        <w:t xml:space="preserve"> </w:t>
      </w:r>
      <w:r w:rsidRPr="00291120">
        <w:t>–</w:t>
      </w:r>
      <w:r w:rsidR="001A796A" w:rsidRPr="00291120">
        <w:t xml:space="preserve"> with </w:t>
      </w:r>
      <w:r w:rsidRPr="00291120">
        <w:t xml:space="preserve">a relatively less understood function. The genome of </w:t>
      </w:r>
      <w:r w:rsidRPr="00291120">
        <w:rPr>
          <w:i/>
          <w:iCs/>
        </w:rPr>
        <w:t>P</w:t>
      </w:r>
      <w:r w:rsidR="001A796A" w:rsidRPr="00291120">
        <w:rPr>
          <w:i/>
          <w:iCs/>
        </w:rPr>
        <w:t xml:space="preserve">seudomonas </w:t>
      </w:r>
      <w:r w:rsidRPr="00291120">
        <w:rPr>
          <w:i/>
          <w:iCs/>
        </w:rPr>
        <w:t>aeruginosa</w:t>
      </w:r>
      <w:r w:rsidRPr="00291120">
        <w:t xml:space="preserve"> encodes a putative P4H named as the pseudomonal iron uptake factor C (PiuC), which makes an operon with a putative </w:t>
      </w:r>
      <w:r w:rsidR="001437B7" w:rsidRPr="00291120">
        <w:t>tetra</w:t>
      </w:r>
      <w:r w:rsidR="00A32AF8" w:rsidRPr="00291120">
        <w:t>tricopeptide</w:t>
      </w:r>
      <w:r w:rsidR="00C173E3" w:rsidRPr="00291120">
        <w:t xml:space="preserve"> repeat protein (TPR)</w:t>
      </w:r>
      <w:r w:rsidRPr="00291120">
        <w:t xml:space="preserve">. Both genes are under the regulation of the transcriptional regulator ferric uptake regulator (TF-FUR), where both genes (PiuC-TPR) are induced under iron scarcity conditions. </w:t>
      </w:r>
      <w:r w:rsidR="00F50DB3" w:rsidRPr="00291120">
        <w:t>Our work</w:t>
      </w:r>
      <w:r w:rsidR="00BA3290" w:rsidRPr="00291120">
        <w:t xml:space="preserve"> assign</w:t>
      </w:r>
      <w:r w:rsidR="00F50DB3" w:rsidRPr="00291120">
        <w:t>ed</w:t>
      </w:r>
      <w:r w:rsidR="00BA3290" w:rsidRPr="00291120">
        <w:t xml:space="preserve"> PiuC as functional 2OG oxygenase with structural remarks suggesting its function as a prolyl-4-hydroxylase. </w:t>
      </w:r>
      <w:r w:rsidR="00C173E3" w:rsidRPr="00291120">
        <w:rPr>
          <w:vertAlign w:val="superscript"/>
        </w:rPr>
        <w:t>1</w:t>
      </w:r>
      <w:r w:rsidR="00C173E3" w:rsidRPr="00291120">
        <w:t>H</w:t>
      </w:r>
      <w:r w:rsidR="00A12B25" w:rsidRPr="00291120">
        <w:t xml:space="preserve"> NMR studies showed PiuC to deplete 2OG</w:t>
      </w:r>
      <w:r w:rsidR="00480CD2" w:rsidRPr="00291120">
        <w:t xml:space="preserve"> and </w:t>
      </w:r>
      <w:r w:rsidR="002815F5" w:rsidRPr="00291120">
        <w:t>produce</w:t>
      </w:r>
      <w:r w:rsidR="00480CD2" w:rsidRPr="00291120">
        <w:t xml:space="preserve"> succinate in a matter dependent on the presence of ferrous iron, molecular </w:t>
      </w:r>
      <w:r w:rsidR="00DC29C0" w:rsidRPr="00291120">
        <w:t>oxygen,</w:t>
      </w:r>
      <w:r w:rsidR="00480CD2" w:rsidRPr="00291120">
        <w:t xml:space="preserve"> and ascorbate.</w:t>
      </w:r>
      <w:r w:rsidR="00C129EB" w:rsidRPr="00291120">
        <w:t xml:space="preserve"> The depletion of 2OG to succinate was indeed enzyme mediated</w:t>
      </w:r>
      <w:r w:rsidR="006202FF" w:rsidRPr="00291120">
        <w:t xml:space="preserve"> as the addition of catalase to limit the none-</w:t>
      </w:r>
      <w:r w:rsidR="00BD742F" w:rsidRPr="00291120">
        <w:t>enzyme</w:t>
      </w:r>
      <w:r w:rsidR="006202FF" w:rsidRPr="00291120">
        <w:t xml:space="preserve"> mediated </w:t>
      </w:r>
      <w:r w:rsidR="00BD742F" w:rsidRPr="00291120">
        <w:t>decarboxylation</w:t>
      </w:r>
      <w:r w:rsidR="00832A4E" w:rsidRPr="00291120">
        <w:t xml:space="preserve"> of 2OG</w:t>
      </w:r>
      <w:r w:rsidR="00BD742F" w:rsidRPr="00291120">
        <w:t xml:space="preserve"> </w:t>
      </w:r>
      <w:r w:rsidR="00D023BB" w:rsidRPr="00291120">
        <w:t xml:space="preserve">did not affect the </w:t>
      </w:r>
      <w:r w:rsidR="00590F3A" w:rsidRPr="00291120">
        <w:t>turnover</w:t>
      </w:r>
      <w:r w:rsidR="00D023BB" w:rsidRPr="00291120">
        <w:t>.</w:t>
      </w:r>
      <w:r w:rsidR="00851070" w:rsidRPr="00291120">
        <w:t xml:space="preserve"> </w:t>
      </w:r>
      <w:r w:rsidR="00590F3A" w:rsidRPr="00291120">
        <w:t>Our work reports the first crystal structure of</w:t>
      </w:r>
      <w:r w:rsidR="004A249D" w:rsidRPr="00291120">
        <w:t xml:space="preserve"> PiuC</w:t>
      </w:r>
      <w:r w:rsidR="006A57FE" w:rsidRPr="00291120">
        <w:t xml:space="preserve"> </w:t>
      </w:r>
      <w:r w:rsidR="004A249D" w:rsidRPr="00291120">
        <w:t>in complex with 2OG, 2,4 pyridine dicarboxylic acid and N</w:t>
      </w:r>
      <w:r w:rsidR="00A35E36" w:rsidRPr="00291120">
        <w:t>-oxalylglycine.</w:t>
      </w:r>
      <w:r w:rsidR="007B3D5D" w:rsidRPr="00291120">
        <w:t xml:space="preserve"> The </w:t>
      </w:r>
      <w:r w:rsidR="00FF6CE1" w:rsidRPr="00291120">
        <w:t xml:space="preserve">active pocket of PiuC is guarded by </w:t>
      </w:r>
      <w:r w:rsidR="00DC3072" w:rsidRPr="00291120">
        <w:t xml:space="preserve">a finger loop </w:t>
      </w:r>
      <w:r w:rsidR="00A024F4" w:rsidRPr="00291120">
        <w:t>with high struc</w:t>
      </w:r>
      <w:r w:rsidR="009767DE" w:rsidRPr="00291120">
        <w:t>tural flexibility, a common signature of P4H enzymes known as</w:t>
      </w:r>
      <w:r w:rsidR="00187456" w:rsidRPr="00291120">
        <w:t xml:space="preserve"> </w:t>
      </w:r>
      <w:r w:rsidR="00085EF5">
        <w:t>“</w:t>
      </w:r>
      <w:r w:rsidR="00187456" w:rsidRPr="00291120">
        <w:t>finger loop</w:t>
      </w:r>
      <w:r w:rsidR="00085EF5">
        <w:t>”</w:t>
      </w:r>
      <w:r w:rsidR="00F375A3" w:rsidRPr="00291120">
        <w:t xml:space="preserve">. Structural studies revealed the stability of the finger loop </w:t>
      </w:r>
      <w:r w:rsidR="000D35A5" w:rsidRPr="00291120">
        <w:t xml:space="preserve">to be enhanced in the presence of metal analogue and </w:t>
      </w:r>
      <w:r w:rsidR="004C5570" w:rsidRPr="00291120">
        <w:t>the native co-substrate 2 oxoglutarate</w:t>
      </w:r>
      <w:r w:rsidR="0095158A">
        <w:t xml:space="preserve">, suggesting the communication between the active </w:t>
      </w:r>
      <w:r w:rsidR="004E3975">
        <w:t xml:space="preserve">site and the </w:t>
      </w:r>
      <w:r w:rsidR="00F86F45">
        <w:t>finger-loop</w:t>
      </w:r>
      <w:r w:rsidR="004C5570" w:rsidRPr="00291120">
        <w:t>.</w:t>
      </w:r>
      <w:r w:rsidR="006E55C6" w:rsidRPr="00291120">
        <w:t xml:space="preserve"> </w:t>
      </w:r>
    </w:p>
    <w:p w14:paraId="6F8FE808" w14:textId="0728B526" w:rsidR="00E70453" w:rsidRPr="00291120" w:rsidRDefault="003E107E" w:rsidP="00850BFC">
      <w:pPr>
        <w:spacing w:line="240" w:lineRule="auto"/>
      </w:pPr>
      <w:r w:rsidRPr="00291120">
        <w:t xml:space="preserve">In the context of antimicrobial resistance, PiuC plays an important role in the susceptibility to </w:t>
      </w:r>
      <w:r w:rsidR="00621D7B" w:rsidRPr="00291120">
        <w:t>cefiderocol</w:t>
      </w:r>
      <w:r w:rsidR="00DA5974" w:rsidRPr="00291120">
        <w:t xml:space="preserve">; </w:t>
      </w:r>
      <w:r w:rsidRPr="00291120">
        <w:t xml:space="preserve">siderophore-conjugated </w:t>
      </w:r>
      <w:r w:rsidR="00632D58" w:rsidRPr="00291120">
        <w:t>β</w:t>
      </w:r>
      <w:r w:rsidRPr="00291120">
        <w:t xml:space="preserve">-lactams, the mechanism of which relies heavily on </w:t>
      </w:r>
      <w:r w:rsidR="004B58D0" w:rsidRPr="00291120">
        <w:t>cellular iron hemostasias</w:t>
      </w:r>
      <w:r w:rsidRPr="00291120">
        <w:t xml:space="preserve">. Recent studies showed that PiuC to be the most mutated gene in isolates from patients with infections that failed the treatment </w:t>
      </w:r>
      <w:r w:rsidR="001A7094">
        <w:t>cefiderocol</w:t>
      </w:r>
      <w:r w:rsidRPr="00291120">
        <w:t xml:space="preserve"> </w:t>
      </w:r>
      <w:r w:rsidRPr="00291120">
        <w:fldChar w:fldCharType="begin"/>
      </w:r>
      <w:r w:rsidR="0098587C" w:rsidRPr="00291120">
        <w:instrText xml:space="preserve"> ADDIN EN.CITE &lt;EndNote&gt;&lt;Cite&gt;&lt;Author&gt;Gomis-Font&lt;/Author&gt;&lt;Year&gt;2023&lt;/Year&gt;&lt;RecNum&gt;340&lt;/RecNum&gt;&lt;DisplayText&gt;(3)&lt;/DisplayText&gt;&lt;record&gt;&lt;rec-number&gt;340&lt;/rec-number&gt;&lt;foreign-keys&gt;&lt;key app="EN" db-id="adw290dv3x5wedevpacpeszcv9aszt5pd00d" timestamp="1705882137" guid="0134105c-c6ee-41b1-a5c8-4b45fc28d511"&gt;340&lt;/key&gt;&lt;/foreign-keys&gt;&lt;ref-type name="Journal Article"&gt;17&lt;/ref-type&gt;&lt;contributors&gt;&lt;authors&gt;&lt;author&gt;Gomis-Font, M. A.&lt;/author&gt;&lt;author&gt;Sastre-Femenia, MÀ&lt;/author&gt;&lt;author&gt;Taltavull, B.&lt;/author&gt;&lt;author&gt;Cabot, G.&lt;/author&gt;&lt;author&gt;Oliver, A.&lt;/author&gt;&lt;/authors&gt;&lt;/contributors&gt;&lt;auth-address&gt;Servicio de Microbiología y Unidad de Investigación, Hospital Universitari Son Espases, Instituto de Investigación Sanitaria Illes Balears (IdISBa), CIBERINFEC, Palma de Mallorca, Spain.&lt;/auth-address&gt;&lt;titles&gt;&lt;title&gt;In vitro dynamics and mechanisms of cefiderocol resistance development in wild-type, mutator and XDR Pseudomonas aeruginosa&lt;/title&gt;&lt;secondary-title&gt;J Antimicrob Chemother&lt;/secondary-title&gt;&lt;/titles&gt;&lt;periodical&gt;&lt;full-title&gt;J Antimicrob Chemother&lt;/full-title&gt;&lt;/periodical&gt;&lt;pages&gt;1785-1794&lt;/pages&gt;&lt;volume&gt;78&lt;/volume&gt;&lt;number&gt;7&lt;/number&gt;&lt;keywords&gt;&lt;keyword&gt;Humans&lt;/keyword&gt;&lt;keyword&gt;*Pseudomonas aeruginosa&lt;/keyword&gt;&lt;keyword&gt;*Pseudomonas Infections&lt;/keyword&gt;&lt;keyword&gt;Cephalosporins/pharmacology&lt;/keyword&gt;&lt;keyword&gt;Anti-Bacterial Agents/pharmacology&lt;/keyword&gt;&lt;keyword&gt;Microbial Sensitivity Tests&lt;/keyword&gt;&lt;keyword&gt;Drug Resistance, Multiple, Bacterial/genetics&lt;/keyword&gt;&lt;keyword&gt;Cefiderocol&lt;/keyword&gt;&lt;/keywords&gt;&lt;dates&gt;&lt;year&gt;2023&lt;/year&gt;&lt;pub-dates&gt;&lt;date&gt;Jul 5&lt;/date&gt;&lt;/pub-dates&gt;&lt;/dates&gt;&lt;isbn&gt;0305-7453&lt;/isbn&gt;&lt;accession-num&gt;37253034&lt;/accession-num&gt;&lt;urls&gt;&lt;/urls&gt;&lt;electronic-resource-num&gt;10.1093/jac/dkad172&lt;/electronic-resource-num&gt;&lt;remote-database-provider&gt;NLM&lt;/remote-database-provider&gt;&lt;language&gt;eng&lt;/language&gt;&lt;/record&gt;&lt;/Cite&gt;&lt;/EndNote&gt;</w:instrText>
      </w:r>
      <w:r w:rsidRPr="00291120">
        <w:fldChar w:fldCharType="separate"/>
      </w:r>
      <w:r w:rsidR="0098587C" w:rsidRPr="00291120">
        <w:rPr>
          <w:noProof/>
        </w:rPr>
        <w:t>(3)</w:t>
      </w:r>
      <w:r w:rsidRPr="00291120">
        <w:fldChar w:fldCharType="end"/>
      </w:r>
      <w:r w:rsidRPr="00291120">
        <w:t xml:space="preserve">. </w:t>
      </w:r>
      <w:r w:rsidR="00E70453" w:rsidRPr="00291120">
        <w:t>We show the isogenic deletion of PiuC elevates minimum inhibitory</w:t>
      </w:r>
      <w:r w:rsidR="00896080">
        <w:t xml:space="preserve"> concentration (MIC) of</w:t>
      </w:r>
      <w:r w:rsidR="00E70453" w:rsidRPr="00291120">
        <w:t xml:space="preserve"> cefiderocol under different conditions</w:t>
      </w:r>
      <w:r w:rsidR="00896080">
        <w:t xml:space="preserve"> including conditions similar to the lungs of cystic fibrosis patients</w:t>
      </w:r>
      <w:r w:rsidR="00E70453" w:rsidRPr="00291120">
        <w:t xml:space="preserve">. </w:t>
      </w:r>
      <w:r w:rsidR="00D220EC" w:rsidRPr="00291120">
        <w:t>Moreover, site</w:t>
      </w:r>
      <w:r w:rsidR="00325138" w:rsidRPr="00291120">
        <w:t xml:space="preserve"> directed mutagenesis</w:t>
      </w:r>
      <w:r w:rsidR="005343FA" w:rsidRPr="00291120">
        <w:t xml:space="preserve"> of </w:t>
      </w:r>
      <w:r w:rsidR="001A7094">
        <w:t>the catalytic triad</w:t>
      </w:r>
      <w:r w:rsidR="00325138" w:rsidRPr="00291120">
        <w:t xml:space="preserve"> </w:t>
      </w:r>
      <w:r w:rsidR="001A7094">
        <w:t>indicates</w:t>
      </w:r>
      <w:r w:rsidR="00325138" w:rsidRPr="00291120">
        <w:t xml:space="preserve"> PiuC</w:t>
      </w:r>
      <w:r w:rsidR="00E70453" w:rsidRPr="00291120">
        <w:t xml:space="preserve"> to be involved in the uptake of </w:t>
      </w:r>
      <w:r w:rsidR="00325138" w:rsidRPr="00291120">
        <w:t>cefiderocol</w:t>
      </w:r>
      <w:r w:rsidR="00E70453" w:rsidRPr="00291120">
        <w:t xml:space="preserve">. The complementation of PiuC </w:t>
      </w:r>
      <w:r w:rsidR="00EF7DB9">
        <w:t>res</w:t>
      </w:r>
      <w:r w:rsidR="007A5F9C">
        <w:t xml:space="preserve">tores </w:t>
      </w:r>
      <w:r w:rsidR="00E70453" w:rsidRPr="00291120">
        <w:t xml:space="preserve">susceptibility to </w:t>
      </w:r>
      <w:r w:rsidR="007A5F9C">
        <w:t>cefiderocol, to a level</w:t>
      </w:r>
      <w:r w:rsidR="00E70453" w:rsidRPr="00291120">
        <w:t xml:space="preserve"> similar to the wildtype.  Our findings suggest that PiuC </w:t>
      </w:r>
      <w:r w:rsidR="002A19B0">
        <w:t>might form a novel</w:t>
      </w:r>
      <w:r w:rsidR="00D220EC" w:rsidRPr="00291120">
        <w:t xml:space="preserve"> class</w:t>
      </w:r>
      <w:r w:rsidR="00E70453" w:rsidRPr="00291120">
        <w:t xml:space="preserve"> </w:t>
      </w:r>
      <w:r w:rsidR="005636DD">
        <w:t xml:space="preserve">of putative bacterial P4H, </w:t>
      </w:r>
      <w:r w:rsidR="00E70453" w:rsidRPr="00291120">
        <w:t xml:space="preserve">involved in </w:t>
      </w:r>
      <w:r w:rsidR="005636DD">
        <w:t xml:space="preserve">iron sensing and </w:t>
      </w:r>
      <w:r w:rsidR="00E70453" w:rsidRPr="00291120">
        <w:t xml:space="preserve">the susceptibility to siderophore conjugated antibiotics. Although the transpeptidase targets of cefiderocol are similar to those of more classical cephalosporins, the high demand in the use of </w:t>
      </w:r>
      <w:r w:rsidR="005636DD">
        <w:t xml:space="preserve">cefiderocol and future </w:t>
      </w:r>
      <w:r w:rsidR="00E70453" w:rsidRPr="00291120">
        <w:t xml:space="preserve">siderophore-antibiotics in the clinical setting will promote </w:t>
      </w:r>
      <w:r w:rsidR="00901221">
        <w:t>PiuC mediated</w:t>
      </w:r>
      <w:r w:rsidR="00E70453" w:rsidRPr="00291120">
        <w:t xml:space="preserve"> resistance mechanisms. Understanding the role that PiuC plays in the uptake of siderophore-antibiotics will aid in a better and more efficient antibiotic discovery.  </w:t>
      </w:r>
    </w:p>
    <w:p w14:paraId="22632D24" w14:textId="77777777" w:rsidR="00291120" w:rsidRPr="00291120" w:rsidRDefault="003E107E" w:rsidP="00291120">
      <w:pPr>
        <w:pStyle w:val="EndNoteBibliography"/>
        <w:spacing w:after="0"/>
        <w:ind w:left="720" w:hanging="720"/>
      </w:pPr>
      <w:r w:rsidRPr="00291120">
        <w:lastRenderedPageBreak/>
        <w:fldChar w:fldCharType="begin"/>
      </w:r>
      <w:r w:rsidRPr="00291120">
        <w:instrText xml:space="preserve"> ADDIN EN.REFLIST </w:instrText>
      </w:r>
      <w:r w:rsidRPr="00291120">
        <w:fldChar w:fldCharType="separate"/>
      </w:r>
      <w:r w:rsidR="00291120" w:rsidRPr="00291120">
        <w:t>1.</w:t>
      </w:r>
      <w:r w:rsidR="00291120" w:rsidRPr="00291120">
        <w:tab/>
        <w:t xml:space="preserve">Slama, P. (2016) Identification of family determining residues in Jumonji-C lysine demethylases: A sequence-based, family wide classification Proteins </w:t>
      </w:r>
      <w:r w:rsidR="00291120" w:rsidRPr="00291120">
        <w:rPr>
          <w:b/>
        </w:rPr>
        <w:t>84</w:t>
      </w:r>
      <w:r w:rsidR="00291120" w:rsidRPr="00291120">
        <w:t>, 397-407 10.1002/prot.24986</w:t>
      </w:r>
    </w:p>
    <w:p w14:paraId="1DA95A77" w14:textId="77777777" w:rsidR="00291120" w:rsidRPr="00291120" w:rsidRDefault="00291120" w:rsidP="00291120">
      <w:pPr>
        <w:pStyle w:val="EndNoteBibliography"/>
        <w:spacing w:after="0"/>
        <w:ind w:left="720" w:hanging="720"/>
      </w:pPr>
      <w:r w:rsidRPr="00291120">
        <w:t>2.</w:t>
      </w:r>
      <w:r w:rsidRPr="00291120">
        <w:tab/>
        <w:t xml:space="preserve">Culpepper, M. A., Scott, E. E., andLimburg, J. (2010) Crystal structure of prolyl 4-hydroxylase from Bacillus anthracis Biochemistry </w:t>
      </w:r>
      <w:r w:rsidRPr="00291120">
        <w:rPr>
          <w:b/>
        </w:rPr>
        <w:t>49</w:t>
      </w:r>
      <w:r w:rsidRPr="00291120">
        <w:t>, 124-133 10.1021/bi901771z</w:t>
      </w:r>
    </w:p>
    <w:p w14:paraId="14519E52" w14:textId="77777777" w:rsidR="00291120" w:rsidRPr="00291120" w:rsidRDefault="00291120" w:rsidP="00291120">
      <w:pPr>
        <w:pStyle w:val="EndNoteBibliography"/>
        <w:ind w:left="720" w:hanging="720"/>
      </w:pPr>
      <w:r w:rsidRPr="00291120">
        <w:t>3.</w:t>
      </w:r>
      <w:r w:rsidRPr="00291120">
        <w:tab/>
        <w:t xml:space="preserve">Gomis-Font, M. A., Sastre-Femenia, M., Taltavull, B., Cabot, G., andOliver, A. (2023) In vitro dynamics and mechanisms of cefiderocol resistance development in wild-type, mutator and XDR Pseudomonas aeruginosa J Antimicrob Chemother </w:t>
      </w:r>
      <w:r w:rsidRPr="00291120">
        <w:rPr>
          <w:b/>
        </w:rPr>
        <w:t>78</w:t>
      </w:r>
      <w:r w:rsidRPr="00291120">
        <w:t>, 1785-1794 10.1093/jac/dkad172</w:t>
      </w:r>
    </w:p>
    <w:p w14:paraId="6D17D04D" w14:textId="79BE4B09" w:rsidR="003E107E" w:rsidRPr="00291120" w:rsidRDefault="003E107E" w:rsidP="00291120">
      <w:pPr>
        <w:spacing w:line="240" w:lineRule="auto"/>
      </w:pPr>
      <w:r w:rsidRPr="00291120">
        <w:fldChar w:fldCharType="end"/>
      </w:r>
    </w:p>
    <w:p w14:paraId="5BA6FD12" w14:textId="48D8C7D1" w:rsidR="00A233BD" w:rsidRPr="00291120" w:rsidRDefault="00A233BD" w:rsidP="0098587C">
      <w:pPr>
        <w:spacing w:line="240" w:lineRule="auto"/>
      </w:pPr>
    </w:p>
    <w:sectPr w:rsidR="00A233BD" w:rsidRPr="0029112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64A89" w14:textId="77777777" w:rsidR="00E02268" w:rsidRDefault="00E02268" w:rsidP="00D70A49">
      <w:pPr>
        <w:spacing w:after="0" w:line="240" w:lineRule="auto"/>
      </w:pPr>
      <w:r>
        <w:separator/>
      </w:r>
    </w:p>
  </w:endnote>
  <w:endnote w:type="continuationSeparator" w:id="0">
    <w:p w14:paraId="0F1E5141" w14:textId="77777777" w:rsidR="00E02268" w:rsidRDefault="00E02268" w:rsidP="00D70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2752B" w14:textId="77777777" w:rsidR="00E02268" w:rsidRDefault="00E02268" w:rsidP="00D70A49">
      <w:pPr>
        <w:spacing w:after="0" w:line="240" w:lineRule="auto"/>
      </w:pPr>
      <w:r>
        <w:separator/>
      </w:r>
    </w:p>
  </w:footnote>
  <w:footnote w:type="continuationSeparator" w:id="0">
    <w:p w14:paraId="3BB3DAAC" w14:textId="77777777" w:rsidR="00E02268" w:rsidRDefault="00E02268" w:rsidP="00D70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EDBD9" w14:textId="45883992" w:rsidR="00DD185F" w:rsidRDefault="00DD185F">
    <w:pPr>
      <w:pStyle w:val="Head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Biological Chem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dw290dv3x5wedevpacpeszcv9aszt5pd00d&quot;&gt;My PC library&lt;record-ids&gt;&lt;item&gt;337&lt;/item&gt;&lt;item&gt;338&lt;/item&gt;&lt;item&gt;340&lt;/item&gt;&lt;/record-ids&gt;&lt;/item&gt;&lt;/Libraries&gt;"/>
  </w:docVars>
  <w:rsids>
    <w:rsidRoot w:val="00AA1C48"/>
    <w:rsid w:val="000120B7"/>
    <w:rsid w:val="00032B7B"/>
    <w:rsid w:val="000337C7"/>
    <w:rsid w:val="00085EF5"/>
    <w:rsid w:val="00090889"/>
    <w:rsid w:val="000D35A5"/>
    <w:rsid w:val="00135492"/>
    <w:rsid w:val="001437B7"/>
    <w:rsid w:val="00146E14"/>
    <w:rsid w:val="001642D0"/>
    <w:rsid w:val="00173A3D"/>
    <w:rsid w:val="00177539"/>
    <w:rsid w:val="00187456"/>
    <w:rsid w:val="001A7094"/>
    <w:rsid w:val="001A796A"/>
    <w:rsid w:val="001C04FD"/>
    <w:rsid w:val="002125A7"/>
    <w:rsid w:val="00232161"/>
    <w:rsid w:val="002815F5"/>
    <w:rsid w:val="00290D22"/>
    <w:rsid w:val="00291120"/>
    <w:rsid w:val="002A19B0"/>
    <w:rsid w:val="002D5B2A"/>
    <w:rsid w:val="00325138"/>
    <w:rsid w:val="00356F91"/>
    <w:rsid w:val="00360F93"/>
    <w:rsid w:val="00386494"/>
    <w:rsid w:val="003E107E"/>
    <w:rsid w:val="00457A63"/>
    <w:rsid w:val="004772E0"/>
    <w:rsid w:val="00480CD2"/>
    <w:rsid w:val="004A249D"/>
    <w:rsid w:val="004B209C"/>
    <w:rsid w:val="004B58D0"/>
    <w:rsid w:val="004C5570"/>
    <w:rsid w:val="004E3975"/>
    <w:rsid w:val="005325DD"/>
    <w:rsid w:val="005343FA"/>
    <w:rsid w:val="005361BC"/>
    <w:rsid w:val="00554799"/>
    <w:rsid w:val="005636DD"/>
    <w:rsid w:val="00565751"/>
    <w:rsid w:val="0056728D"/>
    <w:rsid w:val="005757FE"/>
    <w:rsid w:val="00590F3A"/>
    <w:rsid w:val="006202FF"/>
    <w:rsid w:val="00621D7B"/>
    <w:rsid w:val="00624703"/>
    <w:rsid w:val="00632501"/>
    <w:rsid w:val="00632D58"/>
    <w:rsid w:val="0066760F"/>
    <w:rsid w:val="006A57FE"/>
    <w:rsid w:val="006C3B59"/>
    <w:rsid w:val="006E55C6"/>
    <w:rsid w:val="006F5190"/>
    <w:rsid w:val="007422C1"/>
    <w:rsid w:val="007A5F9C"/>
    <w:rsid w:val="007B3D5D"/>
    <w:rsid w:val="007D3C0C"/>
    <w:rsid w:val="007D542D"/>
    <w:rsid w:val="008251A5"/>
    <w:rsid w:val="008260E9"/>
    <w:rsid w:val="00832A4E"/>
    <w:rsid w:val="00850BFC"/>
    <w:rsid w:val="00851070"/>
    <w:rsid w:val="00860489"/>
    <w:rsid w:val="00883FE8"/>
    <w:rsid w:val="00896080"/>
    <w:rsid w:val="0089628E"/>
    <w:rsid w:val="008E7A14"/>
    <w:rsid w:val="008F4B0C"/>
    <w:rsid w:val="00901221"/>
    <w:rsid w:val="0095158A"/>
    <w:rsid w:val="00971EA5"/>
    <w:rsid w:val="009767DE"/>
    <w:rsid w:val="0098587C"/>
    <w:rsid w:val="00990DC1"/>
    <w:rsid w:val="009962AE"/>
    <w:rsid w:val="009A0766"/>
    <w:rsid w:val="00A024EE"/>
    <w:rsid w:val="00A024F4"/>
    <w:rsid w:val="00A0798B"/>
    <w:rsid w:val="00A12B25"/>
    <w:rsid w:val="00A21E3D"/>
    <w:rsid w:val="00A233BD"/>
    <w:rsid w:val="00A32AF8"/>
    <w:rsid w:val="00A35E36"/>
    <w:rsid w:val="00A52D67"/>
    <w:rsid w:val="00AA1C48"/>
    <w:rsid w:val="00AB529C"/>
    <w:rsid w:val="00AC1D26"/>
    <w:rsid w:val="00AD686E"/>
    <w:rsid w:val="00B826F9"/>
    <w:rsid w:val="00B8726A"/>
    <w:rsid w:val="00BA3290"/>
    <w:rsid w:val="00BA4FF3"/>
    <w:rsid w:val="00BA73C9"/>
    <w:rsid w:val="00BD742F"/>
    <w:rsid w:val="00C129EB"/>
    <w:rsid w:val="00C173E3"/>
    <w:rsid w:val="00C84F1A"/>
    <w:rsid w:val="00CB2650"/>
    <w:rsid w:val="00CC4B6C"/>
    <w:rsid w:val="00CF4A5E"/>
    <w:rsid w:val="00D023BB"/>
    <w:rsid w:val="00D0502E"/>
    <w:rsid w:val="00D13D05"/>
    <w:rsid w:val="00D220EC"/>
    <w:rsid w:val="00D232ED"/>
    <w:rsid w:val="00D301A8"/>
    <w:rsid w:val="00D451DA"/>
    <w:rsid w:val="00D70A49"/>
    <w:rsid w:val="00D9007D"/>
    <w:rsid w:val="00DA126C"/>
    <w:rsid w:val="00DA5974"/>
    <w:rsid w:val="00DC29C0"/>
    <w:rsid w:val="00DC3072"/>
    <w:rsid w:val="00DC32C6"/>
    <w:rsid w:val="00DD185F"/>
    <w:rsid w:val="00DF3417"/>
    <w:rsid w:val="00E02268"/>
    <w:rsid w:val="00E04A9C"/>
    <w:rsid w:val="00E05CCF"/>
    <w:rsid w:val="00E31E89"/>
    <w:rsid w:val="00E70453"/>
    <w:rsid w:val="00E74EC1"/>
    <w:rsid w:val="00EC7C79"/>
    <w:rsid w:val="00EF7DB9"/>
    <w:rsid w:val="00F36CF4"/>
    <w:rsid w:val="00F375A3"/>
    <w:rsid w:val="00F50DB3"/>
    <w:rsid w:val="00F86F45"/>
    <w:rsid w:val="00F9731E"/>
    <w:rsid w:val="00FC3C38"/>
    <w:rsid w:val="00FF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BAF6C"/>
  <w15:chartTrackingRefBased/>
  <w15:docId w15:val="{79F0B7F9-DE76-42A2-BC1F-422904B42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C4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A024E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024E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024EE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024EE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3E10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7A6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0A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A49"/>
  </w:style>
  <w:style w:type="paragraph" w:styleId="Footer">
    <w:name w:val="footer"/>
    <w:basedOn w:val="Normal"/>
    <w:link w:val="FooterChar"/>
    <w:uiPriority w:val="99"/>
    <w:unhideWhenUsed/>
    <w:rsid w:val="00D70A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A49"/>
  </w:style>
  <w:style w:type="character" w:styleId="Emphasis">
    <w:name w:val="Emphasis"/>
    <w:basedOn w:val="DefaultParagraphFont"/>
    <w:uiPriority w:val="20"/>
    <w:qFormat/>
    <w:rsid w:val="00A079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8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Faisal Alshref</dc:creator>
  <cp:keywords/>
  <dc:description/>
  <cp:lastModifiedBy>Faisal Alshref</cp:lastModifiedBy>
  <cp:revision>2</cp:revision>
  <dcterms:created xsi:type="dcterms:W3CDTF">2024-05-13T20:22:00Z</dcterms:created>
  <dcterms:modified xsi:type="dcterms:W3CDTF">2024-05-13T20:22:00Z</dcterms:modified>
</cp:coreProperties>
</file>