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AB3D" w14:textId="73CB41AF" w:rsidR="009F7C88" w:rsidRPr="00F72043" w:rsidRDefault="009F7C88" w:rsidP="00AF2096">
      <w:pPr>
        <w:spacing w:after="120" w:line="240" w:lineRule="auto"/>
        <w:jc w:val="center"/>
        <w:rPr>
          <w:rFonts w:ascii="Arial" w:hAnsi="Arial" w:cs="Arial"/>
        </w:rPr>
      </w:pPr>
      <w:r>
        <w:rPr>
          <w:rFonts w:ascii="Arial" w:hAnsi="Arial" w:cs="Arial"/>
        </w:rPr>
        <w:t xml:space="preserve">Elevated </w:t>
      </w:r>
      <w:r w:rsidRPr="00F72043">
        <w:rPr>
          <w:rFonts w:ascii="Arial" w:hAnsi="Arial" w:cs="Arial"/>
        </w:rPr>
        <w:t>Hemoglobin</w:t>
      </w:r>
      <w:r>
        <w:rPr>
          <w:rFonts w:ascii="Arial" w:hAnsi="Arial" w:cs="Arial"/>
        </w:rPr>
        <w:t xml:space="preserve"> of Andean Aymaras</w:t>
      </w:r>
      <w:r w:rsidRPr="00F72043">
        <w:rPr>
          <w:rFonts w:ascii="Arial" w:hAnsi="Arial" w:cs="Arial"/>
        </w:rPr>
        <w:t xml:space="preserve"> </w:t>
      </w:r>
      <w:r>
        <w:rPr>
          <w:rFonts w:ascii="Arial" w:hAnsi="Arial" w:cs="Arial"/>
        </w:rPr>
        <w:t>is Caused by A</w:t>
      </w:r>
      <w:r w:rsidRPr="00F72043">
        <w:rPr>
          <w:rFonts w:ascii="Arial" w:hAnsi="Arial" w:cs="Arial"/>
        </w:rPr>
        <w:t>lternative</w:t>
      </w:r>
      <w:r>
        <w:rPr>
          <w:rFonts w:ascii="Arial" w:hAnsi="Arial" w:cs="Arial"/>
        </w:rPr>
        <w:t>ly</w:t>
      </w:r>
      <w:r w:rsidRPr="00F72043">
        <w:rPr>
          <w:rFonts w:ascii="Arial" w:hAnsi="Arial" w:cs="Arial"/>
        </w:rPr>
        <w:t xml:space="preserve"> Spliced </w:t>
      </w:r>
      <w:r w:rsidRPr="006E13F0">
        <w:rPr>
          <w:rFonts w:ascii="Arial" w:hAnsi="Arial" w:cs="Arial"/>
          <w:i/>
          <w:iCs/>
        </w:rPr>
        <w:t>NFKB1</w:t>
      </w:r>
    </w:p>
    <w:p w14:paraId="634239B2" w14:textId="1E555207" w:rsidR="009F7C88" w:rsidRPr="00F72043" w:rsidRDefault="009F7C88" w:rsidP="00AF2096">
      <w:pPr>
        <w:spacing w:after="120" w:line="240" w:lineRule="auto"/>
        <w:jc w:val="both"/>
        <w:rPr>
          <w:rFonts w:ascii="Arial" w:hAnsi="Arial" w:cs="Arial"/>
          <w:bCs/>
          <w:vertAlign w:val="superscript"/>
        </w:rPr>
      </w:pPr>
      <w:r w:rsidRPr="00F72043">
        <w:rPr>
          <w:rFonts w:ascii="Arial" w:hAnsi="Arial" w:cs="Arial"/>
          <w:bCs/>
        </w:rPr>
        <w:t xml:space="preserve">Jihyun Song </w:t>
      </w:r>
      <w:r w:rsidRPr="00F72043">
        <w:rPr>
          <w:rFonts w:ascii="Arial" w:hAnsi="Arial" w:cs="Arial"/>
          <w:bCs/>
          <w:vertAlign w:val="superscript"/>
        </w:rPr>
        <w:t>1, *</w:t>
      </w:r>
      <w:r w:rsidRPr="00F72043">
        <w:rPr>
          <w:rFonts w:ascii="Arial" w:hAnsi="Arial" w:cs="Arial"/>
          <w:bCs/>
        </w:rPr>
        <w:t xml:space="preserve">, Seonggyun Han </w:t>
      </w:r>
      <w:r w:rsidRPr="00F72043">
        <w:rPr>
          <w:rFonts w:ascii="Arial" w:hAnsi="Arial" w:cs="Arial"/>
          <w:bCs/>
          <w:vertAlign w:val="superscript"/>
        </w:rPr>
        <w:t>2, *</w:t>
      </w:r>
      <w:r w:rsidRPr="00F72043">
        <w:rPr>
          <w:rFonts w:ascii="Arial" w:hAnsi="Arial" w:cs="Arial"/>
          <w:bCs/>
        </w:rPr>
        <w:t xml:space="preserve">, Ricardo Amaru </w:t>
      </w:r>
      <w:r w:rsidRPr="00F72043">
        <w:rPr>
          <w:rFonts w:ascii="Arial" w:hAnsi="Arial" w:cs="Arial"/>
          <w:bCs/>
          <w:vertAlign w:val="superscript"/>
        </w:rPr>
        <w:t>3, *</w:t>
      </w:r>
      <w:r w:rsidRPr="00F72043">
        <w:rPr>
          <w:rFonts w:ascii="Arial" w:hAnsi="Arial" w:cs="Arial"/>
          <w:bCs/>
        </w:rPr>
        <w:t xml:space="preserve">, </w:t>
      </w:r>
      <w:r w:rsidRPr="00F72043">
        <w:rPr>
          <w:rFonts w:ascii="Arial" w:hAnsi="Arial" w:cs="Arial"/>
          <w:bCs/>
          <w:iCs/>
          <w:color w:val="333333"/>
        </w:rPr>
        <w:t>Lucie Lanikova</w:t>
      </w:r>
      <w:r>
        <w:rPr>
          <w:rFonts w:ascii="Arial" w:hAnsi="Arial" w:cs="Arial"/>
          <w:bCs/>
          <w:vertAlign w:val="superscript"/>
        </w:rPr>
        <w:t>4</w:t>
      </w:r>
      <w:r w:rsidRPr="00F72043">
        <w:rPr>
          <w:rFonts w:ascii="Arial" w:hAnsi="Arial" w:cs="Arial"/>
          <w:bCs/>
          <w:vertAlign w:val="superscript"/>
        </w:rPr>
        <w:t xml:space="preserve"> *</w:t>
      </w:r>
      <w:r w:rsidRPr="00F72043">
        <w:rPr>
          <w:rFonts w:ascii="Arial" w:hAnsi="Arial" w:cs="Arial"/>
          <w:bCs/>
          <w:iCs/>
          <w:color w:val="333333"/>
        </w:rPr>
        <w:t xml:space="preserve">, </w:t>
      </w:r>
      <w:r w:rsidRPr="00F72043">
        <w:rPr>
          <w:rFonts w:ascii="Arial" w:hAnsi="Arial" w:cs="Arial"/>
          <w:bCs/>
        </w:rPr>
        <w:t xml:space="preserve">Teddy Quispe </w:t>
      </w:r>
      <w:r>
        <w:rPr>
          <w:rFonts w:ascii="Arial" w:hAnsi="Arial" w:cs="Arial"/>
          <w:bCs/>
          <w:vertAlign w:val="superscript"/>
        </w:rPr>
        <w:t>3</w:t>
      </w:r>
      <w:r w:rsidRPr="00F72043">
        <w:rPr>
          <w:rFonts w:ascii="Arial" w:hAnsi="Arial" w:cs="Arial"/>
          <w:bCs/>
        </w:rPr>
        <w:t xml:space="preserve">, Dongwook Kim </w:t>
      </w:r>
      <w:r w:rsidRPr="00F72043">
        <w:rPr>
          <w:rFonts w:ascii="Arial" w:hAnsi="Arial" w:cs="Arial"/>
          <w:bCs/>
          <w:vertAlign w:val="superscript"/>
        </w:rPr>
        <w:t>2</w:t>
      </w:r>
      <w:r w:rsidRPr="00F72043">
        <w:rPr>
          <w:rFonts w:ascii="Arial" w:hAnsi="Arial" w:cs="Arial"/>
          <w:bCs/>
        </w:rPr>
        <w:t xml:space="preserve">, Jacob E. Crawford </w:t>
      </w:r>
      <w:r w:rsidRPr="00F72043">
        <w:rPr>
          <w:rFonts w:ascii="Arial" w:hAnsi="Arial" w:cs="Arial"/>
          <w:bCs/>
          <w:vertAlign w:val="superscript"/>
        </w:rPr>
        <w:t>5</w:t>
      </w:r>
      <w:r w:rsidRPr="00F72043">
        <w:rPr>
          <w:rFonts w:ascii="Arial" w:hAnsi="Arial" w:cs="Arial"/>
          <w:bCs/>
        </w:rPr>
        <w:t xml:space="preserve">, </w:t>
      </w:r>
      <w:r w:rsidR="000F719B">
        <w:rPr>
          <w:rFonts w:ascii="Arial" w:hAnsi="Arial" w:cs="Arial"/>
          <w:bCs/>
        </w:rPr>
        <w:t xml:space="preserve">Soo Jin Kim </w:t>
      </w:r>
      <w:r w:rsidR="000F719B" w:rsidRPr="004A19EB">
        <w:rPr>
          <w:rFonts w:ascii="Arial" w:hAnsi="Arial" w:cs="Arial"/>
          <w:bCs/>
          <w:vertAlign w:val="superscript"/>
        </w:rPr>
        <w:t>1</w:t>
      </w:r>
      <w:r w:rsidR="000F719B">
        <w:rPr>
          <w:rFonts w:ascii="Arial" w:hAnsi="Arial" w:cs="Arial"/>
          <w:bCs/>
        </w:rPr>
        <w:t xml:space="preserve">, </w:t>
      </w:r>
      <w:r w:rsidRPr="00F72043">
        <w:rPr>
          <w:rFonts w:ascii="Arial" w:hAnsi="Arial" w:cs="Arial"/>
          <w:bCs/>
        </w:rPr>
        <w:t xml:space="preserve">Younghee Lee </w:t>
      </w:r>
      <w:r w:rsidRPr="00F72043">
        <w:rPr>
          <w:rFonts w:ascii="Arial" w:hAnsi="Arial" w:cs="Arial"/>
          <w:bCs/>
          <w:vertAlign w:val="superscript"/>
        </w:rPr>
        <w:t>6, #</w:t>
      </w:r>
      <w:r w:rsidRPr="00F72043">
        <w:rPr>
          <w:rFonts w:ascii="Arial" w:hAnsi="Arial" w:cs="Arial"/>
          <w:bCs/>
        </w:rPr>
        <w:t xml:space="preserve"> and </w:t>
      </w:r>
      <w:r w:rsidRPr="002159F5">
        <w:rPr>
          <w:rFonts w:ascii="Arial" w:hAnsi="Arial" w:cs="Arial"/>
          <w:bCs/>
          <w:u w:val="single"/>
        </w:rPr>
        <w:t>Josef T. Prchal</w:t>
      </w:r>
      <w:r w:rsidRPr="00F72043">
        <w:rPr>
          <w:rFonts w:ascii="Arial" w:hAnsi="Arial" w:cs="Arial"/>
          <w:bCs/>
        </w:rPr>
        <w:t xml:space="preserve"> </w:t>
      </w:r>
      <w:r w:rsidRPr="00F72043">
        <w:rPr>
          <w:rFonts w:ascii="Arial" w:hAnsi="Arial" w:cs="Arial"/>
          <w:bCs/>
          <w:vertAlign w:val="superscript"/>
        </w:rPr>
        <w:t>1, #</w:t>
      </w:r>
    </w:p>
    <w:p w14:paraId="7EAC4923" w14:textId="77777777" w:rsidR="009F7C88" w:rsidRPr="00F72043" w:rsidRDefault="009F7C88" w:rsidP="002159F5">
      <w:pPr>
        <w:snapToGrid w:val="0"/>
        <w:spacing w:after="0" w:line="240" w:lineRule="auto"/>
        <w:jc w:val="both"/>
        <w:rPr>
          <w:rFonts w:ascii="Arial" w:hAnsi="Arial" w:cs="Arial"/>
        </w:rPr>
      </w:pPr>
      <w:bookmarkStart w:id="0" w:name="_Hlk133155662"/>
      <w:r w:rsidRPr="00F72043">
        <w:rPr>
          <w:rFonts w:ascii="Arial" w:hAnsi="Arial" w:cs="Arial"/>
          <w:vertAlign w:val="superscript"/>
        </w:rPr>
        <w:t xml:space="preserve">1 </w:t>
      </w:r>
      <w:r w:rsidRPr="00F72043">
        <w:rPr>
          <w:rFonts w:ascii="Arial" w:hAnsi="Arial" w:cs="Arial"/>
        </w:rPr>
        <w:t xml:space="preserve">Division of Hematology and Hematologic Malignancies, Huntsman Cancer Institute, University of Utah, Salt Lake City, UT, 84112, USA; </w:t>
      </w:r>
      <w:r w:rsidRPr="00F72043">
        <w:rPr>
          <w:rFonts w:ascii="Arial" w:hAnsi="Arial" w:cs="Arial"/>
          <w:vertAlign w:val="superscript"/>
        </w:rPr>
        <w:t>2</w:t>
      </w:r>
      <w:r w:rsidRPr="00F72043">
        <w:rPr>
          <w:rFonts w:ascii="Arial" w:hAnsi="Arial" w:cs="Arial"/>
        </w:rPr>
        <w:t xml:space="preserve">Department of Biomedical Informatics, School of Medicine, University of Utah, Salt Lake City, UT, 84112, USA; </w:t>
      </w:r>
      <w:r>
        <w:rPr>
          <w:rFonts w:ascii="Arial" w:hAnsi="Arial" w:cs="Arial"/>
          <w:vertAlign w:val="superscript"/>
        </w:rPr>
        <w:t xml:space="preserve">3 </w:t>
      </w:r>
      <w:r w:rsidRPr="00F72043">
        <w:rPr>
          <w:rFonts w:ascii="Arial" w:hAnsi="Arial" w:cs="Arial"/>
        </w:rPr>
        <w:t>Cell Biology Unit, University of San Andres, National</w:t>
      </w:r>
      <w:r w:rsidRPr="000F719B">
        <w:rPr>
          <w:rFonts w:ascii="Arial" w:hAnsi="Arial" w:cs="Arial"/>
        </w:rPr>
        <w:t xml:space="preserve"> Academy </w:t>
      </w:r>
      <w:r w:rsidRPr="00F72043">
        <w:rPr>
          <w:rFonts w:ascii="Arial" w:hAnsi="Arial" w:cs="Arial"/>
        </w:rPr>
        <w:t>of Sciences, La Paz, Bolivia</w:t>
      </w:r>
      <w:r>
        <w:rPr>
          <w:rFonts w:ascii="Arial" w:hAnsi="Arial" w:cs="Arial"/>
        </w:rPr>
        <w:t>;</w:t>
      </w:r>
      <w:r w:rsidRPr="00F72043">
        <w:rPr>
          <w:rFonts w:ascii="Arial" w:hAnsi="Arial" w:cs="Arial"/>
          <w:vertAlign w:val="superscript"/>
        </w:rPr>
        <w:t xml:space="preserve"> </w:t>
      </w:r>
      <w:r>
        <w:rPr>
          <w:rFonts w:ascii="Arial" w:hAnsi="Arial" w:cs="Arial"/>
          <w:vertAlign w:val="superscript"/>
        </w:rPr>
        <w:t>4</w:t>
      </w:r>
      <w:r w:rsidRPr="00F72043">
        <w:rPr>
          <w:rFonts w:ascii="Arial" w:hAnsi="Arial" w:cs="Arial"/>
        </w:rPr>
        <w:t>Department of Cell and Developmental Biology, Institute of Molecular Genetics of the Czech Academy of Sciences, Prague, Czech Republic</w:t>
      </w:r>
      <w:bookmarkEnd w:id="0"/>
      <w:r w:rsidRPr="00F72043">
        <w:rPr>
          <w:rFonts w:ascii="Arial" w:hAnsi="Arial" w:cs="Arial"/>
        </w:rPr>
        <w:t xml:space="preserve">; </w:t>
      </w:r>
      <w:r w:rsidRPr="00F72043">
        <w:rPr>
          <w:rFonts w:ascii="Arial" w:hAnsi="Arial" w:cs="Arial"/>
          <w:vertAlign w:val="superscript"/>
        </w:rPr>
        <w:t xml:space="preserve">5 </w:t>
      </w:r>
      <w:r w:rsidRPr="00F72043">
        <w:rPr>
          <w:rFonts w:ascii="Arial" w:hAnsi="Arial" w:cs="Arial"/>
        </w:rPr>
        <w:t xml:space="preserve">Verily Life Sciences, South San Francisco, CA, 94080, USA; </w:t>
      </w:r>
      <w:r w:rsidRPr="00F72043">
        <w:rPr>
          <w:rFonts w:ascii="Arial" w:hAnsi="Arial" w:cs="Arial"/>
          <w:vertAlign w:val="superscript"/>
        </w:rPr>
        <w:t xml:space="preserve">6 </w:t>
      </w:r>
      <w:r w:rsidRPr="00F72043">
        <w:rPr>
          <w:rFonts w:ascii="Arial" w:hAnsi="Arial" w:cs="Arial"/>
        </w:rPr>
        <w:t>College of Veterinary Medicine and Research Institute for Veterinary Science, Seoul National University, Seoul, Korea 08826, Republic of Korea</w:t>
      </w:r>
    </w:p>
    <w:p w14:paraId="327EBE00" w14:textId="318507DA" w:rsidR="009F7C88" w:rsidRDefault="00AF3CE5" w:rsidP="002159F5">
      <w:pPr>
        <w:spacing w:after="0" w:line="240" w:lineRule="auto"/>
        <w:jc w:val="both"/>
        <w:rPr>
          <w:rFonts w:ascii="Arial" w:hAnsi="Arial" w:cs="Arial"/>
          <w:color w:val="0D0D0D"/>
          <w:shd w:val="clear" w:color="auto" w:fill="FFFFFF"/>
        </w:rPr>
      </w:pPr>
      <w:r w:rsidRPr="004A19EB">
        <w:rPr>
          <w:rFonts w:ascii="Arial" w:hAnsi="Arial" w:cs="Arial"/>
          <w:b/>
          <w:bCs/>
          <w:color w:val="0D0D0D"/>
          <w:shd w:val="clear" w:color="auto" w:fill="FFFFFF"/>
        </w:rPr>
        <w:t>Background</w:t>
      </w:r>
      <w:r>
        <w:rPr>
          <w:rFonts w:ascii="Arial" w:hAnsi="Arial" w:cs="Arial"/>
          <w:color w:val="0D0D0D"/>
          <w:shd w:val="clear" w:color="auto" w:fill="FFFFFF"/>
        </w:rPr>
        <w:t xml:space="preserve">: </w:t>
      </w:r>
      <w:r w:rsidR="009F7C88" w:rsidRPr="00F72043">
        <w:rPr>
          <w:rFonts w:ascii="Arial" w:hAnsi="Arial" w:cs="Arial"/>
          <w:color w:val="0D0D0D"/>
          <w:shd w:val="clear" w:color="auto" w:fill="FFFFFF"/>
        </w:rPr>
        <w:t>Tibetans, Ethiopians, and Andeans</w:t>
      </w:r>
      <w:r w:rsidR="009F7C88" w:rsidRPr="00F72043" w:rsidDel="00CF7D1A">
        <w:rPr>
          <w:rFonts w:ascii="Arial" w:hAnsi="Arial" w:cs="Arial"/>
          <w:color w:val="0D0D0D"/>
          <w:shd w:val="clear" w:color="auto" w:fill="FFFFFF"/>
        </w:rPr>
        <w:t xml:space="preserve"> </w:t>
      </w:r>
      <w:r w:rsidR="009F7C88">
        <w:rPr>
          <w:rFonts w:ascii="Arial" w:hAnsi="Arial" w:cs="Arial"/>
          <w:color w:val="0D0D0D"/>
          <w:shd w:val="clear" w:color="auto" w:fill="FFFFFF"/>
        </w:rPr>
        <w:t xml:space="preserve">have </w:t>
      </w:r>
      <w:r w:rsidR="009F7C88" w:rsidRPr="00F72043">
        <w:rPr>
          <w:rFonts w:ascii="Arial" w:hAnsi="Arial" w:cs="Arial"/>
          <w:color w:val="0D0D0D"/>
          <w:shd w:val="clear" w:color="auto" w:fill="FFFFFF"/>
        </w:rPr>
        <w:t xml:space="preserve">been extensively studied for their </w:t>
      </w:r>
      <w:r w:rsidR="009F7C88">
        <w:rPr>
          <w:rFonts w:ascii="Arial" w:hAnsi="Arial" w:cs="Arial"/>
          <w:color w:val="0D0D0D"/>
          <w:shd w:val="clear" w:color="auto" w:fill="FFFFFF"/>
        </w:rPr>
        <w:t xml:space="preserve">evolutionary genetic </w:t>
      </w:r>
      <w:r w:rsidR="009F7C88" w:rsidRPr="00F72043">
        <w:rPr>
          <w:rFonts w:ascii="Arial" w:hAnsi="Arial" w:cs="Arial"/>
          <w:color w:val="0D0D0D"/>
          <w:shd w:val="clear" w:color="auto" w:fill="FFFFFF"/>
        </w:rPr>
        <w:t>adaptations to high altitudes</w:t>
      </w:r>
      <w:r w:rsidR="009F7C88">
        <w:rPr>
          <w:rFonts w:ascii="Arial" w:hAnsi="Arial" w:cs="Arial"/>
          <w:color w:val="0D0D0D"/>
          <w:shd w:val="clear" w:color="auto" w:fill="FFFFFF"/>
        </w:rPr>
        <w:t xml:space="preserve"> hypoxia</w:t>
      </w:r>
      <w:r w:rsidR="009F7C88" w:rsidRPr="00F72043">
        <w:rPr>
          <w:rFonts w:ascii="Arial" w:hAnsi="Arial" w:cs="Arial"/>
          <w:color w:val="0D0D0D"/>
          <w:shd w:val="clear" w:color="auto" w:fill="FFFFFF"/>
        </w:rPr>
        <w:t>:</w:t>
      </w:r>
      <w:r w:rsidR="009F7C88">
        <w:rPr>
          <w:rFonts w:ascii="Arial" w:hAnsi="Arial" w:cs="Arial"/>
          <w:color w:val="0D0D0D"/>
          <w:shd w:val="clear" w:color="auto" w:fill="FFFFFF"/>
        </w:rPr>
        <w:t xml:space="preserve"> Quechua and Aymara are the principal Andean ethnicities</w:t>
      </w:r>
      <w:r w:rsidR="009F7C88" w:rsidRPr="00F72043">
        <w:rPr>
          <w:rFonts w:ascii="Arial" w:hAnsi="Arial" w:cs="Arial"/>
          <w:color w:val="0D0D0D"/>
          <w:shd w:val="clear" w:color="auto" w:fill="FFFFFF"/>
        </w:rPr>
        <w:t>. At h</w:t>
      </w:r>
      <w:r w:rsidR="009F7C88" w:rsidRPr="00CD1E99">
        <w:rPr>
          <w:rFonts w:ascii="Arial" w:hAnsi="Arial" w:cs="Arial"/>
          <w:color w:val="0D0D0D"/>
          <w:shd w:val="clear" w:color="auto" w:fill="FFFFFF"/>
        </w:rPr>
        <w:t>igh altitude, Tibetans and Ethiopians maintain hemoglobin (Hb) levels comparable to those at sea level, whereas Andeans exhibit higher Hb levels than Europeans residing at the same altitude. We previously determined that the Tibetan selection of two genetic variants in hypoxia inducible factor (HIF) pathway,</w:t>
      </w:r>
      <w:r w:rsidR="009F7C88" w:rsidRPr="00CD1E99">
        <w:rPr>
          <w:rFonts w:ascii="Arial" w:hAnsi="Arial" w:cs="Arial"/>
          <w:i/>
          <w:iCs/>
          <w:color w:val="0D0D0D"/>
          <w:shd w:val="clear" w:color="auto" w:fill="FFFFFF"/>
        </w:rPr>
        <w:t>EPAS1</w:t>
      </w:r>
      <w:r w:rsidR="009F7C88" w:rsidRPr="00CD1E99">
        <w:rPr>
          <w:rFonts w:ascii="Arial" w:hAnsi="Arial" w:cs="Arial"/>
          <w:color w:val="0D0D0D"/>
          <w:shd w:val="clear" w:color="auto" w:fill="FFFFFF"/>
        </w:rPr>
        <w:t xml:space="preserve"> (HIF-2a) </w:t>
      </w:r>
      <w:r w:rsidR="009F7C88" w:rsidRPr="00CD1E99">
        <w:rPr>
          <w:rFonts w:ascii="Arial" w:hAnsi="Arial" w:cs="Arial"/>
        </w:rPr>
        <w:t xml:space="preserve">and </w:t>
      </w:r>
      <w:r w:rsidR="009F7C88" w:rsidRPr="00CD1E99">
        <w:rPr>
          <w:rFonts w:ascii="Arial" w:hAnsi="Arial" w:cs="Arial"/>
          <w:i/>
          <w:iCs/>
        </w:rPr>
        <w:t xml:space="preserve">EGLN1 </w:t>
      </w:r>
      <w:r w:rsidR="009F7C88" w:rsidRPr="00CD1E99">
        <w:rPr>
          <w:rFonts w:ascii="Arial" w:hAnsi="Arial" w:cs="Arial"/>
        </w:rPr>
        <w:t>(prolyl hydroxylase 2) genes,</w:t>
      </w:r>
      <w:r w:rsidR="009F7C88">
        <w:rPr>
          <w:rFonts w:ascii="Arial" w:hAnsi="Arial" w:cs="Arial"/>
        </w:rPr>
        <w:t xml:space="preserve"> </w:t>
      </w:r>
      <w:r w:rsidR="009F7C88" w:rsidRPr="00CD1E99">
        <w:rPr>
          <w:rFonts w:ascii="Arial" w:hAnsi="Arial" w:cs="Arial"/>
        </w:rPr>
        <w:t>co</w:t>
      </w:r>
      <w:r w:rsidR="009F7C88">
        <w:rPr>
          <w:rFonts w:ascii="Arial" w:hAnsi="Arial" w:cs="Arial"/>
        </w:rPr>
        <w:t>r</w:t>
      </w:r>
      <w:r w:rsidR="009F7C88" w:rsidRPr="00CD1E99">
        <w:rPr>
          <w:rFonts w:ascii="Arial" w:hAnsi="Arial" w:cs="Arial"/>
        </w:rPr>
        <w:t xml:space="preserve">relate with their lower Hb (Science 2010, Nat Gen 2014). </w:t>
      </w:r>
      <w:r w:rsidR="009F7C88" w:rsidRPr="00CD1E99">
        <w:rPr>
          <w:rFonts w:ascii="Arial" w:hAnsi="Arial" w:cs="Arial"/>
          <w:color w:val="0D0D0D"/>
          <w:shd w:val="clear" w:color="auto" w:fill="FFFFFF"/>
        </w:rPr>
        <w:t>Our previous whole-genome sequencing study of Aymara (</w:t>
      </w:r>
      <w:r w:rsidR="009F7C88" w:rsidRPr="003D050B">
        <w:rPr>
          <w:rFonts w:ascii="Arial" w:hAnsi="Arial" w:cs="Arial"/>
          <w:color w:val="000000" w:themeColor="text1"/>
          <w:shd w:val="clear" w:color="auto" w:fill="FFFFFF"/>
        </w:rPr>
        <w:t xml:space="preserve">Am J Hum Genet. 2017) </w:t>
      </w:r>
      <w:r w:rsidR="009F7C88" w:rsidRPr="00CD1E99">
        <w:rPr>
          <w:rFonts w:ascii="Arial" w:hAnsi="Arial" w:cs="Arial"/>
          <w:color w:val="0D0D0D"/>
          <w:shd w:val="clear" w:color="auto" w:fill="FFFFFF"/>
        </w:rPr>
        <w:t xml:space="preserve">identified strong selection signals in </w:t>
      </w:r>
      <w:r w:rsidR="009F7C88" w:rsidRPr="00CD1E99">
        <w:rPr>
          <w:rFonts w:ascii="Arial" w:hAnsi="Arial" w:cs="Arial"/>
          <w:i/>
          <w:iCs/>
          <w:color w:val="0D0D0D"/>
          <w:shd w:val="clear" w:color="auto" w:fill="FFFFFF"/>
        </w:rPr>
        <w:t>BRINP3</w:t>
      </w:r>
      <w:r w:rsidR="009F7C88" w:rsidRPr="00CD1E99">
        <w:rPr>
          <w:rFonts w:ascii="Arial" w:hAnsi="Arial" w:cs="Arial"/>
          <w:color w:val="0D0D0D"/>
          <w:shd w:val="clear" w:color="auto" w:fill="FFFFFF"/>
        </w:rPr>
        <w:t xml:space="preserve">, </w:t>
      </w:r>
      <w:r w:rsidR="009F7C88" w:rsidRPr="00CD1E99">
        <w:rPr>
          <w:rFonts w:ascii="Arial" w:hAnsi="Arial" w:cs="Arial"/>
          <w:i/>
          <w:iCs/>
          <w:color w:val="0D0D0D"/>
          <w:shd w:val="clear" w:color="auto" w:fill="FFFFFF"/>
        </w:rPr>
        <w:t>NOS2</w:t>
      </w:r>
      <w:r w:rsidR="009F7C88" w:rsidRPr="00CD1E99">
        <w:rPr>
          <w:rFonts w:ascii="Arial" w:hAnsi="Arial" w:cs="Arial"/>
          <w:color w:val="0D0D0D"/>
          <w:shd w:val="clear" w:color="auto" w:fill="FFFFFF"/>
        </w:rPr>
        <w:t xml:space="preserve">, and </w:t>
      </w:r>
      <w:r w:rsidR="009F7C88" w:rsidRPr="00CD1E99">
        <w:rPr>
          <w:rFonts w:ascii="Arial" w:hAnsi="Arial" w:cs="Arial"/>
          <w:i/>
          <w:iCs/>
          <w:color w:val="0D0D0D"/>
          <w:shd w:val="clear" w:color="auto" w:fill="FFFFFF"/>
        </w:rPr>
        <w:t xml:space="preserve">TBX5 </w:t>
      </w:r>
      <w:r w:rsidR="009F7C88" w:rsidRPr="00CD1E99">
        <w:rPr>
          <w:rFonts w:ascii="Arial" w:hAnsi="Arial" w:cs="Arial"/>
          <w:color w:val="0D0D0D"/>
          <w:shd w:val="clear" w:color="auto" w:fill="FFFFFF"/>
        </w:rPr>
        <w:t xml:space="preserve">genes, which are linked to cardiovascular function and development but failed to explain elevated Hb. </w:t>
      </w:r>
    </w:p>
    <w:p w14:paraId="3F6F8DAF" w14:textId="4548B722" w:rsidR="009F7C88" w:rsidRPr="000561E8" w:rsidRDefault="009F7C88" w:rsidP="002159F5">
      <w:pPr>
        <w:spacing w:after="0" w:line="240" w:lineRule="auto"/>
        <w:jc w:val="both"/>
        <w:rPr>
          <w:rFonts w:ascii="Arial" w:hAnsi="Arial" w:cs="Arial"/>
        </w:rPr>
      </w:pPr>
      <w:r w:rsidRPr="00F72043">
        <w:rPr>
          <w:rFonts w:ascii="Arial" w:hAnsi="Arial" w:cs="Arial"/>
        </w:rPr>
        <w:t xml:space="preserve">We </w:t>
      </w:r>
      <w:r>
        <w:rPr>
          <w:rFonts w:ascii="Arial" w:hAnsi="Arial" w:cs="Arial"/>
        </w:rPr>
        <w:t xml:space="preserve">set out </w:t>
      </w:r>
      <w:r w:rsidRPr="00F72043">
        <w:rPr>
          <w:rFonts w:ascii="Arial" w:hAnsi="Arial" w:cs="Arial"/>
        </w:rPr>
        <w:t xml:space="preserve">to identify genetic signatures </w:t>
      </w:r>
      <w:r>
        <w:rPr>
          <w:rFonts w:ascii="Arial" w:hAnsi="Arial" w:cs="Arial"/>
        </w:rPr>
        <w:t>of</w:t>
      </w:r>
      <w:r w:rsidRPr="00F72043">
        <w:rPr>
          <w:rFonts w:ascii="Arial" w:hAnsi="Arial" w:cs="Arial"/>
        </w:rPr>
        <w:t xml:space="preserve"> high </w:t>
      </w:r>
      <w:r>
        <w:rPr>
          <w:rFonts w:ascii="Arial" w:hAnsi="Arial" w:cs="Arial"/>
        </w:rPr>
        <w:t xml:space="preserve">Hb </w:t>
      </w:r>
      <w:r w:rsidRPr="00F72043">
        <w:rPr>
          <w:rFonts w:ascii="Arial" w:hAnsi="Arial" w:cs="Arial"/>
        </w:rPr>
        <w:t>levels in Aymara through transcriptome analysis</w:t>
      </w:r>
      <w:r w:rsidR="00AF3CE5">
        <w:rPr>
          <w:rFonts w:ascii="Arial" w:hAnsi="Arial" w:cs="Arial"/>
        </w:rPr>
        <w:t xml:space="preserve">. </w:t>
      </w:r>
      <w:r>
        <w:rPr>
          <w:rFonts w:ascii="Arial" w:hAnsi="Arial" w:cs="Arial"/>
        </w:rPr>
        <w:t xml:space="preserve">We collected Aymara and European samples at La Paz; Bolivia (~4,000 m). Granulocytes were used for </w:t>
      </w:r>
      <w:r w:rsidRPr="000561E8">
        <w:rPr>
          <w:rFonts w:ascii="Arial" w:hAnsi="Arial" w:cs="Arial"/>
        </w:rPr>
        <w:t>RNA-seq</w:t>
      </w:r>
      <w:r>
        <w:rPr>
          <w:rFonts w:ascii="Arial" w:hAnsi="Arial" w:cs="Arial"/>
        </w:rPr>
        <w:t>.</w:t>
      </w:r>
      <w:r w:rsidRPr="000561E8">
        <w:rPr>
          <w:rFonts w:ascii="Arial" w:hAnsi="Arial" w:cs="Arial"/>
        </w:rPr>
        <w:t xml:space="preserve"> </w:t>
      </w:r>
      <w:r>
        <w:rPr>
          <w:rFonts w:ascii="Arial" w:hAnsi="Arial" w:cs="Arial"/>
        </w:rPr>
        <w:t>D</w:t>
      </w:r>
      <w:r w:rsidRPr="000561E8">
        <w:rPr>
          <w:rFonts w:ascii="Arial" w:hAnsi="Arial" w:cs="Arial"/>
        </w:rPr>
        <w:t>ata were generated from a HiSeq using 125 Cycle Paired-End Sequencing v4</w:t>
      </w:r>
      <w:r>
        <w:rPr>
          <w:rFonts w:ascii="Arial" w:hAnsi="Arial" w:cs="Arial" w:hint="eastAsia"/>
        </w:rPr>
        <w:t>. Different gene expression levels were determined by DEseq2</w:t>
      </w:r>
      <w:r w:rsidR="000F719B">
        <w:rPr>
          <w:rFonts w:ascii="Arial" w:hAnsi="Arial" w:cs="Arial"/>
        </w:rPr>
        <w:t>,</w:t>
      </w:r>
      <w:r>
        <w:rPr>
          <w:rFonts w:ascii="Arial" w:hAnsi="Arial" w:cs="Arial" w:hint="eastAsia"/>
        </w:rPr>
        <w:t xml:space="preserve"> and differentially spliced exons </w:t>
      </w:r>
      <w:r>
        <w:rPr>
          <w:rFonts w:ascii="Arial" w:hAnsi="Arial" w:cs="Arial"/>
        </w:rPr>
        <w:t>were</w:t>
      </w:r>
      <w:r>
        <w:rPr>
          <w:rFonts w:ascii="Arial" w:hAnsi="Arial" w:cs="Arial" w:hint="eastAsia"/>
        </w:rPr>
        <w:t xml:space="preserve"> </w:t>
      </w:r>
      <w:r>
        <w:rPr>
          <w:rFonts w:ascii="Arial" w:hAnsi="Arial" w:cs="Arial"/>
        </w:rPr>
        <w:t>identified</w:t>
      </w:r>
      <w:r>
        <w:rPr>
          <w:rFonts w:ascii="Arial" w:hAnsi="Arial" w:cs="Arial" w:hint="eastAsia"/>
        </w:rPr>
        <w:t xml:space="preserve"> by rMATS. </w:t>
      </w:r>
    </w:p>
    <w:p w14:paraId="51465BAE" w14:textId="2E1C20EA" w:rsidR="009F7C88" w:rsidRPr="00F42061" w:rsidRDefault="009F7C88" w:rsidP="002159F5">
      <w:pPr>
        <w:spacing w:after="0" w:line="240" w:lineRule="auto"/>
        <w:jc w:val="both"/>
        <w:rPr>
          <w:rFonts w:ascii="Arial" w:hAnsi="Arial" w:cs="Arial"/>
        </w:rPr>
      </w:pPr>
      <w:r w:rsidRPr="009F7C88">
        <w:rPr>
          <w:rFonts w:ascii="Arial" w:hAnsi="Arial" w:cs="Arial"/>
          <w:b/>
          <w:bCs/>
          <w:color w:val="0D0D0D"/>
          <w:shd w:val="clear" w:color="auto" w:fill="FFFFFF"/>
        </w:rPr>
        <w:t>Results:</w:t>
      </w:r>
      <w:r w:rsidRPr="009F7C88">
        <w:rPr>
          <w:rFonts w:ascii="Arial" w:hAnsi="Arial" w:cs="Arial"/>
        </w:rPr>
        <w:t xml:space="preserve"> </w:t>
      </w:r>
      <w:r w:rsidRPr="000561E8">
        <w:rPr>
          <w:rFonts w:ascii="Arial" w:hAnsi="Arial" w:cs="Arial"/>
        </w:rPr>
        <w:t xml:space="preserve">We identified 2,601 differentially expressed genes and 1,922 spliced genes in Aymaras that were associated with immune-, inflammatory-, and hypoxia-related pathways. Their cis-genetic regulators were assessed as expression quantitative trait loci and splicing quantitative trait loci (sQTLs). We </w:t>
      </w:r>
      <w:r>
        <w:rPr>
          <w:rFonts w:ascii="Arial" w:hAnsi="Arial" w:cs="Arial"/>
        </w:rPr>
        <w:t>found</w:t>
      </w:r>
      <w:r w:rsidRPr="000561E8">
        <w:rPr>
          <w:rFonts w:ascii="Arial" w:hAnsi="Arial" w:cs="Arial"/>
        </w:rPr>
        <w:t xml:space="preserve"> novel transcripts with </w:t>
      </w:r>
      <w:r>
        <w:rPr>
          <w:rFonts w:ascii="Arial" w:hAnsi="Arial" w:cs="Arial"/>
        </w:rPr>
        <w:t xml:space="preserve">exon 4 or </w:t>
      </w:r>
      <w:r w:rsidRPr="000561E8">
        <w:rPr>
          <w:rFonts w:ascii="Arial" w:hAnsi="Arial" w:cs="Arial"/>
        </w:rPr>
        <w:t xml:space="preserve">5 </w:t>
      </w:r>
      <w:r>
        <w:rPr>
          <w:rFonts w:ascii="Arial" w:hAnsi="Arial" w:cs="Arial"/>
        </w:rPr>
        <w:t xml:space="preserve">or both </w:t>
      </w:r>
      <w:r w:rsidRPr="000561E8">
        <w:rPr>
          <w:rFonts w:ascii="Arial" w:hAnsi="Arial" w:cs="Arial"/>
        </w:rPr>
        <w:t>exon</w:t>
      </w:r>
      <w:r>
        <w:rPr>
          <w:rFonts w:ascii="Arial" w:hAnsi="Arial" w:cs="Arial"/>
        </w:rPr>
        <w:t>s</w:t>
      </w:r>
      <w:r w:rsidRPr="000561E8">
        <w:rPr>
          <w:rFonts w:ascii="Arial" w:hAnsi="Arial" w:cs="Arial"/>
        </w:rPr>
        <w:t xml:space="preserve"> skipp</w:t>
      </w:r>
      <w:r>
        <w:rPr>
          <w:rFonts w:ascii="Arial" w:hAnsi="Arial" w:cs="Arial"/>
        </w:rPr>
        <w:t>ed</w:t>
      </w:r>
      <w:r w:rsidRPr="000561E8">
        <w:rPr>
          <w:rFonts w:ascii="Arial" w:hAnsi="Arial" w:cs="Arial"/>
        </w:rPr>
        <w:t xml:space="preserve"> </w:t>
      </w:r>
      <w:r>
        <w:rPr>
          <w:rFonts w:ascii="Arial" w:hAnsi="Arial" w:cs="Arial"/>
        </w:rPr>
        <w:t xml:space="preserve">in </w:t>
      </w:r>
      <w:r w:rsidRPr="00617536">
        <w:rPr>
          <w:rFonts w:ascii="Arial" w:hAnsi="Arial" w:cs="Arial"/>
          <w:i/>
          <w:iCs/>
        </w:rPr>
        <w:t>NFKB1</w:t>
      </w:r>
      <w:r w:rsidRPr="000561E8">
        <w:rPr>
          <w:rFonts w:ascii="Arial" w:hAnsi="Arial" w:cs="Arial"/>
        </w:rPr>
        <w:t xml:space="preserve"> (AS-</w:t>
      </w:r>
      <w:r w:rsidRPr="00617536">
        <w:rPr>
          <w:rFonts w:ascii="Arial" w:hAnsi="Arial" w:cs="Arial"/>
          <w:i/>
          <w:iCs/>
        </w:rPr>
        <w:t>NFKB1</w:t>
      </w:r>
      <w:r w:rsidRPr="000561E8">
        <w:rPr>
          <w:rFonts w:ascii="Arial" w:hAnsi="Arial" w:cs="Arial"/>
        </w:rPr>
        <w:t xml:space="preserve">), a key part of the NF-kB </w:t>
      </w:r>
      <w:r>
        <w:rPr>
          <w:rFonts w:ascii="Arial" w:hAnsi="Arial" w:cs="Arial"/>
        </w:rPr>
        <w:t xml:space="preserve">pathway </w:t>
      </w:r>
      <w:r w:rsidRPr="000561E8">
        <w:rPr>
          <w:rFonts w:ascii="Arial" w:hAnsi="Arial" w:cs="Arial"/>
        </w:rPr>
        <w:t xml:space="preserve">contributing to </w:t>
      </w:r>
      <w:r>
        <w:rPr>
          <w:rFonts w:ascii="Arial" w:hAnsi="Arial" w:cs="Arial"/>
        </w:rPr>
        <w:t xml:space="preserve">suppression of </w:t>
      </w:r>
      <w:r w:rsidRPr="000561E8">
        <w:rPr>
          <w:rFonts w:ascii="Arial" w:hAnsi="Arial" w:cs="Arial"/>
        </w:rPr>
        <w:t xml:space="preserve">the inflammatory </w:t>
      </w:r>
      <w:r>
        <w:rPr>
          <w:rFonts w:ascii="Arial" w:hAnsi="Arial" w:cs="Arial"/>
        </w:rPr>
        <w:t xml:space="preserve">pathway </w:t>
      </w:r>
      <w:r w:rsidRPr="000561E8">
        <w:rPr>
          <w:rFonts w:ascii="Arial" w:hAnsi="Arial" w:cs="Arial"/>
        </w:rPr>
        <w:t xml:space="preserve">and </w:t>
      </w:r>
      <w:r>
        <w:rPr>
          <w:rFonts w:ascii="Arial" w:hAnsi="Arial" w:cs="Arial"/>
        </w:rPr>
        <w:t xml:space="preserve">activation of </w:t>
      </w:r>
      <w:r w:rsidRPr="000561E8">
        <w:rPr>
          <w:rFonts w:ascii="Arial" w:hAnsi="Arial" w:cs="Arial"/>
        </w:rPr>
        <w:t>HIF</w:t>
      </w:r>
      <w:r>
        <w:rPr>
          <w:rFonts w:ascii="Arial" w:hAnsi="Arial" w:cs="Arial"/>
        </w:rPr>
        <w:t xml:space="preserve">s. We found that </w:t>
      </w:r>
      <w:r w:rsidRPr="00B11352">
        <w:rPr>
          <w:rFonts w:ascii="Arial" w:hAnsi="Arial" w:cs="Arial"/>
        </w:rPr>
        <w:t>AS-</w:t>
      </w:r>
      <w:r w:rsidRPr="00B11352">
        <w:rPr>
          <w:rFonts w:ascii="Arial" w:hAnsi="Arial" w:cs="Arial"/>
          <w:i/>
          <w:iCs/>
        </w:rPr>
        <w:t>NFKB1</w:t>
      </w:r>
      <w:r w:rsidRPr="00B11352">
        <w:rPr>
          <w:rFonts w:ascii="Arial" w:hAnsi="Arial" w:cs="Arial"/>
        </w:rPr>
        <w:t xml:space="preserve"> with</w:t>
      </w:r>
      <w:r>
        <w:rPr>
          <w:rFonts w:ascii="Arial" w:hAnsi="Arial" w:cs="Arial"/>
        </w:rPr>
        <w:t>out</w:t>
      </w:r>
      <w:r w:rsidRPr="00B11352">
        <w:rPr>
          <w:rFonts w:ascii="Arial" w:hAnsi="Arial" w:cs="Arial"/>
        </w:rPr>
        <w:t xml:space="preserve"> exon 4 or exon</w:t>
      </w:r>
      <w:r>
        <w:rPr>
          <w:rFonts w:ascii="Arial" w:hAnsi="Arial" w:cs="Arial"/>
        </w:rPr>
        <w:t>s</w:t>
      </w:r>
      <w:r w:rsidRPr="00B11352">
        <w:rPr>
          <w:rFonts w:ascii="Arial" w:hAnsi="Arial" w:cs="Arial"/>
        </w:rPr>
        <w:t xml:space="preserve"> 4 and 5 </w:t>
      </w:r>
      <w:r>
        <w:rPr>
          <w:rFonts w:ascii="Arial" w:hAnsi="Arial" w:cs="Arial"/>
        </w:rPr>
        <w:t>are</w:t>
      </w:r>
      <w:r w:rsidRPr="00B11352">
        <w:rPr>
          <w:rFonts w:ascii="Arial" w:hAnsi="Arial" w:cs="Arial"/>
        </w:rPr>
        <w:t xml:space="preserve"> not translated into protein, </w:t>
      </w:r>
      <w:r>
        <w:rPr>
          <w:rFonts w:ascii="Arial" w:hAnsi="Arial" w:cs="Arial"/>
        </w:rPr>
        <w:t xml:space="preserve">while </w:t>
      </w:r>
      <w:r w:rsidRPr="00B11352">
        <w:rPr>
          <w:rFonts w:ascii="Arial" w:hAnsi="Arial" w:cs="Arial"/>
        </w:rPr>
        <w:t>exon 5 skipped AS-</w:t>
      </w:r>
      <w:r w:rsidRPr="00B11352">
        <w:rPr>
          <w:rFonts w:ascii="Arial" w:hAnsi="Arial" w:cs="Arial"/>
          <w:i/>
          <w:iCs/>
        </w:rPr>
        <w:t>NFKB1</w:t>
      </w:r>
      <w:r w:rsidRPr="00B11352">
        <w:rPr>
          <w:rFonts w:ascii="Arial" w:hAnsi="Arial" w:cs="Arial"/>
        </w:rPr>
        <w:t xml:space="preserve"> is translated into protein</w:t>
      </w:r>
      <w:r>
        <w:rPr>
          <w:rFonts w:ascii="Arial" w:hAnsi="Arial" w:cs="Arial"/>
        </w:rPr>
        <w:t xml:space="preserve"> but </w:t>
      </w:r>
      <w:r w:rsidRPr="00B11352">
        <w:rPr>
          <w:rFonts w:ascii="Arial" w:hAnsi="Arial" w:cs="Arial"/>
        </w:rPr>
        <w:t xml:space="preserve">it is improperly processed into p50 and is unable to be </w:t>
      </w:r>
      <w:r>
        <w:rPr>
          <w:rFonts w:ascii="Arial" w:hAnsi="Arial" w:cs="Arial"/>
        </w:rPr>
        <w:t xml:space="preserve">correctly </w:t>
      </w:r>
      <w:r w:rsidRPr="00B11352">
        <w:rPr>
          <w:rFonts w:ascii="Arial" w:hAnsi="Arial" w:cs="Arial"/>
        </w:rPr>
        <w:t>translocated into the nucleus.</w:t>
      </w:r>
      <w:r>
        <w:rPr>
          <w:rFonts w:ascii="Arial" w:hAnsi="Arial" w:cs="Arial"/>
        </w:rPr>
        <w:t xml:space="preserve"> Thus, AS-</w:t>
      </w:r>
      <w:r w:rsidRPr="00B11352">
        <w:rPr>
          <w:rFonts w:ascii="Arial" w:hAnsi="Arial" w:cs="Arial"/>
          <w:i/>
          <w:iCs/>
        </w:rPr>
        <w:t xml:space="preserve">NFKB1 </w:t>
      </w:r>
      <w:r w:rsidRPr="00B11352">
        <w:rPr>
          <w:rFonts w:ascii="Arial" w:hAnsi="Arial" w:cs="Arial"/>
        </w:rPr>
        <w:t xml:space="preserve">transcripts cause </w:t>
      </w:r>
      <w:r>
        <w:rPr>
          <w:rFonts w:ascii="Arial" w:hAnsi="Arial" w:cs="Arial"/>
        </w:rPr>
        <w:t>a</w:t>
      </w:r>
      <w:r w:rsidRPr="00B11352">
        <w:rPr>
          <w:rFonts w:ascii="Arial" w:hAnsi="Arial" w:cs="Arial"/>
        </w:rPr>
        <w:t xml:space="preserve"> partial loss of canonical NFKB1 function</w:t>
      </w:r>
      <w:r>
        <w:rPr>
          <w:rFonts w:ascii="Arial" w:hAnsi="Arial" w:cs="Arial"/>
        </w:rPr>
        <w:t xml:space="preserve"> as the suppressor of </w:t>
      </w:r>
      <w:r w:rsidRPr="000561E8">
        <w:rPr>
          <w:rFonts w:ascii="Arial" w:hAnsi="Arial" w:cs="Arial"/>
        </w:rPr>
        <w:t>NF-kB</w:t>
      </w:r>
      <w:r>
        <w:rPr>
          <w:rFonts w:ascii="Arial" w:hAnsi="Arial" w:cs="Arial"/>
        </w:rPr>
        <w:t xml:space="preserve">. </w:t>
      </w:r>
      <w:r w:rsidRPr="000561E8">
        <w:rPr>
          <w:rFonts w:ascii="Arial" w:hAnsi="Arial" w:cs="Arial"/>
        </w:rPr>
        <w:t>Th</w:t>
      </w:r>
      <w:r>
        <w:rPr>
          <w:rFonts w:ascii="Arial" w:hAnsi="Arial" w:cs="Arial"/>
        </w:rPr>
        <w:t xml:space="preserve">ese </w:t>
      </w:r>
      <w:r w:rsidRPr="00B11352">
        <w:rPr>
          <w:rFonts w:ascii="Arial" w:hAnsi="Arial" w:cs="Arial"/>
        </w:rPr>
        <w:t>AS-</w:t>
      </w:r>
      <w:r w:rsidRPr="00B11352">
        <w:rPr>
          <w:rFonts w:ascii="Arial" w:hAnsi="Arial" w:cs="Arial"/>
          <w:i/>
          <w:iCs/>
        </w:rPr>
        <w:t>NFKB1</w:t>
      </w:r>
      <w:r w:rsidRPr="00B11352">
        <w:rPr>
          <w:rFonts w:ascii="Arial" w:hAnsi="Arial" w:cs="Arial"/>
        </w:rPr>
        <w:t xml:space="preserve"> </w:t>
      </w:r>
      <w:r>
        <w:rPr>
          <w:rFonts w:ascii="Arial" w:hAnsi="Arial" w:cs="Arial"/>
        </w:rPr>
        <w:t>transcript levels were</w:t>
      </w:r>
      <w:r w:rsidRPr="000561E8">
        <w:rPr>
          <w:rFonts w:ascii="Arial" w:hAnsi="Arial" w:cs="Arial"/>
        </w:rPr>
        <w:t xml:space="preserve"> </w:t>
      </w:r>
      <w:r>
        <w:rPr>
          <w:rFonts w:ascii="Arial" w:hAnsi="Arial" w:cs="Arial"/>
        </w:rPr>
        <w:t>a</w:t>
      </w:r>
      <w:r w:rsidRPr="000561E8">
        <w:rPr>
          <w:rFonts w:ascii="Arial" w:hAnsi="Arial" w:cs="Arial"/>
        </w:rPr>
        <w:t xml:space="preserve">ssociated </w:t>
      </w:r>
      <w:r>
        <w:rPr>
          <w:rFonts w:ascii="Arial" w:hAnsi="Arial" w:cs="Arial"/>
        </w:rPr>
        <w:t xml:space="preserve">with 5 </w:t>
      </w:r>
      <w:r w:rsidRPr="000561E8">
        <w:rPr>
          <w:rFonts w:ascii="Arial" w:hAnsi="Arial" w:cs="Arial"/>
        </w:rPr>
        <w:t xml:space="preserve">sQTLs and enriched in Aymara compared to other populations. </w:t>
      </w:r>
      <w:r>
        <w:rPr>
          <w:rFonts w:ascii="Arial" w:hAnsi="Arial" w:cs="Arial"/>
        </w:rPr>
        <w:t xml:space="preserve">Among these 5 sQTL, rs230511 was the most selected single nucleotide polymorphism (SNP) in Aymara. </w:t>
      </w:r>
      <w:r w:rsidRPr="0080226E">
        <w:rPr>
          <w:rFonts w:ascii="Arial" w:hAnsi="Arial" w:cs="Arial"/>
          <w:u w:val="single"/>
        </w:rPr>
        <w:t>AS-</w:t>
      </w:r>
      <w:r w:rsidRPr="0080226E">
        <w:rPr>
          <w:rFonts w:ascii="Arial" w:hAnsi="Arial" w:cs="Arial"/>
          <w:i/>
          <w:iCs/>
          <w:u w:val="single"/>
        </w:rPr>
        <w:t>NFKB1</w:t>
      </w:r>
      <w:r w:rsidRPr="0080226E">
        <w:rPr>
          <w:rFonts w:ascii="Arial" w:hAnsi="Arial" w:cs="Arial"/>
          <w:u w:val="single"/>
        </w:rPr>
        <w:t xml:space="preserve"> transcript levels and T allele (Aymara enriched allele) of rs230511 positively correlated with </w:t>
      </w:r>
      <w:r w:rsidRPr="003D050B">
        <w:rPr>
          <w:rFonts w:ascii="Arial" w:hAnsi="Arial" w:cs="Arial"/>
          <w:u w:val="single"/>
        </w:rPr>
        <w:t xml:space="preserve">elevated Hb in </w:t>
      </w:r>
      <w:r w:rsidRPr="0080226E">
        <w:rPr>
          <w:rFonts w:ascii="Arial" w:hAnsi="Arial" w:cs="Arial"/>
          <w:u w:val="single"/>
        </w:rPr>
        <w:t>Aymara</w:t>
      </w:r>
      <w:r w:rsidRPr="003D050B">
        <w:rPr>
          <w:rFonts w:ascii="Arial" w:hAnsi="Arial" w:cs="Arial"/>
          <w:u w:val="single"/>
        </w:rPr>
        <w:t>.</w:t>
      </w:r>
      <w:r w:rsidRPr="003D050B">
        <w:rPr>
          <w:rFonts w:ascii="Arial" w:hAnsi="Arial" w:cs="Arial"/>
        </w:rPr>
        <w:t xml:space="preserve"> </w:t>
      </w:r>
      <w:r>
        <w:rPr>
          <w:rFonts w:ascii="Arial" w:hAnsi="Arial" w:cs="Arial"/>
        </w:rPr>
        <w:t xml:space="preserve">They also </w:t>
      </w:r>
      <w:r w:rsidRPr="000561E8">
        <w:rPr>
          <w:rFonts w:ascii="Arial" w:hAnsi="Arial" w:cs="Arial"/>
        </w:rPr>
        <w:t xml:space="preserve">correlated with both transcript and protein levels of NF-kB-regulated inflammatory genes including interferon gamma and interleukin 6. </w:t>
      </w:r>
      <w:r w:rsidRPr="00B11352">
        <w:rPr>
          <w:rFonts w:ascii="Arial" w:hAnsi="Arial" w:cs="Arial"/>
        </w:rPr>
        <w:t>While increased inflammation suppresses erythropoiesis</w:t>
      </w:r>
      <w:r>
        <w:rPr>
          <w:rFonts w:ascii="Arial" w:hAnsi="Arial" w:cs="Arial"/>
        </w:rPr>
        <w:t xml:space="preserve">, </w:t>
      </w:r>
      <w:r w:rsidR="00CC4E8A">
        <w:rPr>
          <w:rFonts w:ascii="Arial" w:hAnsi="Arial" w:cs="Arial"/>
        </w:rPr>
        <w:t>Aymara has augmented erythropoiesis. W</w:t>
      </w:r>
      <w:r>
        <w:rPr>
          <w:rFonts w:ascii="Arial" w:hAnsi="Arial" w:cs="Arial"/>
        </w:rPr>
        <w:t xml:space="preserve">e </w:t>
      </w:r>
      <w:r w:rsidR="00AF3CE5">
        <w:rPr>
          <w:rFonts w:ascii="Arial" w:hAnsi="Arial" w:cs="Arial"/>
        </w:rPr>
        <w:t xml:space="preserve">then </w:t>
      </w:r>
      <w:r>
        <w:rPr>
          <w:rFonts w:ascii="Arial" w:hAnsi="Arial" w:cs="Arial"/>
        </w:rPr>
        <w:t xml:space="preserve">found that </w:t>
      </w:r>
      <w:r w:rsidRPr="00B11352">
        <w:rPr>
          <w:rFonts w:ascii="Arial" w:hAnsi="Arial" w:cs="Arial"/>
        </w:rPr>
        <w:t>AS-</w:t>
      </w:r>
      <w:r w:rsidRPr="00B11352">
        <w:rPr>
          <w:rFonts w:ascii="Arial" w:hAnsi="Arial" w:cs="Arial"/>
          <w:i/>
          <w:iCs/>
        </w:rPr>
        <w:t>NFKB1</w:t>
      </w:r>
      <w:r>
        <w:rPr>
          <w:rFonts w:ascii="Arial" w:hAnsi="Arial" w:cs="Arial"/>
        </w:rPr>
        <w:t xml:space="preserve"> </w:t>
      </w:r>
      <w:r w:rsidRPr="00B11352">
        <w:rPr>
          <w:rFonts w:ascii="Arial" w:hAnsi="Arial" w:cs="Arial"/>
        </w:rPr>
        <w:t>correlate</w:t>
      </w:r>
      <w:r>
        <w:rPr>
          <w:rFonts w:ascii="Arial" w:hAnsi="Arial" w:cs="Arial"/>
        </w:rPr>
        <w:t>d</w:t>
      </w:r>
      <w:r w:rsidRPr="00B11352">
        <w:rPr>
          <w:rFonts w:ascii="Arial" w:hAnsi="Arial" w:cs="Arial"/>
        </w:rPr>
        <w:t xml:space="preserve"> with </w:t>
      </w:r>
      <w:r>
        <w:rPr>
          <w:rFonts w:ascii="Arial" w:hAnsi="Arial" w:cs="Arial"/>
        </w:rPr>
        <w:t xml:space="preserve">marked </w:t>
      </w:r>
      <w:r w:rsidRPr="00B11352">
        <w:rPr>
          <w:rFonts w:ascii="Arial" w:hAnsi="Arial" w:cs="Arial"/>
        </w:rPr>
        <w:t xml:space="preserve">upregulation of </w:t>
      </w:r>
      <w:r>
        <w:rPr>
          <w:rFonts w:ascii="Arial" w:hAnsi="Arial" w:cs="Arial"/>
        </w:rPr>
        <w:t xml:space="preserve">many </w:t>
      </w:r>
      <w:r w:rsidRPr="00B11352">
        <w:rPr>
          <w:rFonts w:ascii="Arial" w:hAnsi="Arial" w:cs="Arial"/>
        </w:rPr>
        <w:t>HIF</w:t>
      </w:r>
      <w:r>
        <w:rPr>
          <w:rFonts w:ascii="Arial" w:hAnsi="Arial" w:cs="Arial"/>
        </w:rPr>
        <w:t>-</w:t>
      </w:r>
      <w:r w:rsidRPr="00B11352">
        <w:rPr>
          <w:rFonts w:ascii="Arial" w:hAnsi="Arial" w:cs="Arial"/>
        </w:rPr>
        <w:t>regulated genes</w:t>
      </w:r>
      <w:r w:rsidR="00CC4E8A">
        <w:rPr>
          <w:rFonts w:ascii="Arial" w:hAnsi="Arial" w:cs="Arial"/>
        </w:rPr>
        <w:t xml:space="preserve">. HIFs are the principial regulator of erythropoiesis, </w:t>
      </w:r>
      <w:r w:rsidR="00AF3CE5">
        <w:rPr>
          <w:rFonts w:ascii="Arial" w:hAnsi="Arial" w:cs="Arial"/>
        </w:rPr>
        <w:t>indicating</w:t>
      </w:r>
      <w:r w:rsidR="00CC4E8A">
        <w:rPr>
          <w:rFonts w:ascii="Arial" w:hAnsi="Arial" w:cs="Arial"/>
        </w:rPr>
        <w:t xml:space="preserve"> that high HIF levels</w:t>
      </w:r>
      <w:r>
        <w:rPr>
          <w:rFonts w:ascii="Arial" w:hAnsi="Arial" w:cs="Arial"/>
        </w:rPr>
        <w:t xml:space="preserve"> </w:t>
      </w:r>
      <w:r w:rsidR="00CC4E8A">
        <w:rPr>
          <w:rFonts w:ascii="Arial" w:hAnsi="Arial" w:cs="Arial"/>
        </w:rPr>
        <w:t>account for</w:t>
      </w:r>
      <w:r>
        <w:rPr>
          <w:rFonts w:ascii="Arial" w:hAnsi="Arial" w:cs="Arial"/>
        </w:rPr>
        <w:t xml:space="preserve"> Aymara’s erythrocytosis.</w:t>
      </w:r>
    </w:p>
    <w:p w14:paraId="31C343F5" w14:textId="13C79056" w:rsidR="009F7C88" w:rsidRDefault="00AF3CE5" w:rsidP="002159F5">
      <w:pPr>
        <w:spacing w:after="0" w:line="240" w:lineRule="auto"/>
        <w:jc w:val="both"/>
        <w:rPr>
          <w:rFonts w:ascii="Arial" w:hAnsi="Arial" w:cs="Arial"/>
          <w:i/>
          <w:iCs/>
        </w:rPr>
      </w:pPr>
      <w:r>
        <w:rPr>
          <w:rFonts w:ascii="Arial" w:hAnsi="Arial" w:cs="Arial"/>
        </w:rPr>
        <w:t>We conclude</w:t>
      </w:r>
      <w:r w:rsidR="009F7C88">
        <w:rPr>
          <w:rFonts w:ascii="Arial" w:hAnsi="Arial" w:cs="Arial"/>
        </w:rPr>
        <w:t xml:space="preserve"> that</w:t>
      </w:r>
      <w:r w:rsidR="009F7C88" w:rsidRPr="00B11352">
        <w:rPr>
          <w:rFonts w:ascii="Arial" w:hAnsi="Arial" w:cs="Arial"/>
        </w:rPr>
        <w:t xml:space="preserve"> increased HIF-transcriptional activity</w:t>
      </w:r>
      <w:r w:rsidR="009F7C88">
        <w:rPr>
          <w:rFonts w:ascii="Arial" w:hAnsi="Arial" w:cs="Arial"/>
        </w:rPr>
        <w:t xml:space="preserve"> resulting in Aymara erythrocytosis overcomes suppression of </w:t>
      </w:r>
      <w:r w:rsidR="009F7C88" w:rsidRPr="00B11352">
        <w:rPr>
          <w:rFonts w:ascii="Arial" w:hAnsi="Arial" w:cs="Arial"/>
        </w:rPr>
        <w:t>erythropoiesis</w:t>
      </w:r>
      <w:r w:rsidR="009F7C88">
        <w:rPr>
          <w:rFonts w:ascii="Arial" w:hAnsi="Arial" w:cs="Arial"/>
        </w:rPr>
        <w:t xml:space="preserve"> by</w:t>
      </w:r>
      <w:r w:rsidR="009F7C88" w:rsidRPr="00B11352">
        <w:rPr>
          <w:rFonts w:ascii="Arial" w:hAnsi="Arial" w:cs="Arial"/>
        </w:rPr>
        <w:t xml:space="preserve"> increased inflammation </w:t>
      </w:r>
      <w:r w:rsidR="009F7C88">
        <w:rPr>
          <w:rFonts w:ascii="Arial" w:hAnsi="Arial" w:cs="Arial"/>
        </w:rPr>
        <w:t>modulated by</w:t>
      </w:r>
      <w:r w:rsidR="009F7C88">
        <w:rPr>
          <w:rFonts w:ascii="Arial" w:hAnsi="Arial" w:cs="Arial"/>
          <w:i/>
          <w:iCs/>
        </w:rPr>
        <w:t xml:space="preserve"> </w:t>
      </w:r>
      <w:r w:rsidR="009F7C88">
        <w:rPr>
          <w:rFonts w:ascii="Arial" w:hAnsi="Arial" w:cs="Arial"/>
        </w:rPr>
        <w:t>AS-</w:t>
      </w:r>
      <w:r w:rsidR="009F7C88" w:rsidRPr="00F42061">
        <w:rPr>
          <w:rFonts w:ascii="Arial" w:hAnsi="Arial" w:cs="Arial"/>
          <w:i/>
          <w:iCs/>
        </w:rPr>
        <w:t>NFKB1</w:t>
      </w:r>
      <w:r w:rsidR="009F7C88">
        <w:rPr>
          <w:rFonts w:ascii="Arial" w:hAnsi="Arial" w:cs="Arial"/>
          <w:i/>
          <w:iCs/>
        </w:rPr>
        <w:t>.</w:t>
      </w:r>
    </w:p>
    <w:p w14:paraId="3DC0AF91" w14:textId="28A42B6C" w:rsidR="0088182E" w:rsidRDefault="009F7C88" w:rsidP="002159F5">
      <w:pPr>
        <w:spacing w:after="0" w:line="240" w:lineRule="auto"/>
        <w:jc w:val="both"/>
      </w:pPr>
      <w:r w:rsidRPr="009F7C88">
        <w:rPr>
          <w:rFonts w:ascii="Arial" w:hAnsi="Arial" w:cs="Arial"/>
          <w:b/>
          <w:bCs/>
          <w:color w:val="0D0D0D"/>
          <w:shd w:val="clear" w:color="auto" w:fill="FFFFFF"/>
        </w:rPr>
        <w:t>Summary:</w:t>
      </w:r>
      <w:r>
        <w:rPr>
          <w:rFonts w:ascii="Arial" w:hAnsi="Arial" w:cs="Arial"/>
          <w:sz w:val="24"/>
          <w:szCs w:val="24"/>
        </w:rPr>
        <w:t xml:space="preserve"> </w:t>
      </w:r>
      <w:r>
        <w:rPr>
          <w:rFonts w:ascii="Arial" w:hAnsi="Arial" w:cs="Arial"/>
        </w:rPr>
        <w:t>We identified, for the first time, the elusive genetic signature of elevated Hb of Andean Aymaras and its molecular basis. We demonstrate</w:t>
      </w:r>
      <w:r w:rsidRPr="00187E30">
        <w:rPr>
          <w:rFonts w:ascii="Arial" w:hAnsi="Arial" w:cs="Arial"/>
        </w:rPr>
        <w:t xml:space="preserve"> the association between Aymara-enriched </w:t>
      </w:r>
      <w:r w:rsidRPr="00187E30">
        <w:rPr>
          <w:rFonts w:ascii="Arial" w:hAnsi="Arial" w:cs="Arial"/>
          <w:i/>
          <w:iCs/>
        </w:rPr>
        <w:t>NFKB1</w:t>
      </w:r>
      <w:r w:rsidRPr="00187E30">
        <w:rPr>
          <w:rFonts w:ascii="Arial" w:hAnsi="Arial" w:cs="Arial"/>
        </w:rPr>
        <w:t xml:space="preserve"> SNPs and AS-</w:t>
      </w:r>
      <w:r w:rsidRPr="00187E30">
        <w:rPr>
          <w:rFonts w:ascii="Arial" w:hAnsi="Arial" w:cs="Arial"/>
          <w:i/>
          <w:iCs/>
        </w:rPr>
        <w:t>NFKB1</w:t>
      </w:r>
      <w:r w:rsidRPr="00187E30">
        <w:rPr>
          <w:rFonts w:ascii="Arial" w:hAnsi="Arial" w:cs="Arial"/>
        </w:rPr>
        <w:t xml:space="preserve"> with </w:t>
      </w:r>
      <w:r>
        <w:rPr>
          <w:rFonts w:ascii="Arial" w:hAnsi="Arial" w:cs="Arial"/>
        </w:rPr>
        <w:t xml:space="preserve">both </w:t>
      </w:r>
      <w:r w:rsidRPr="00187E30">
        <w:rPr>
          <w:rFonts w:ascii="Arial" w:hAnsi="Arial" w:cs="Arial"/>
        </w:rPr>
        <w:t xml:space="preserve">elevated hemoglobin levels and heightened inflammation, elucidating a mechanism involving the loss of </w:t>
      </w:r>
      <w:r w:rsidRPr="00187E30">
        <w:rPr>
          <w:rFonts w:ascii="Arial" w:hAnsi="Arial" w:cs="Arial"/>
          <w:i/>
          <w:iCs/>
        </w:rPr>
        <w:t>NFKB1</w:t>
      </w:r>
      <w:r w:rsidRPr="00187E30">
        <w:rPr>
          <w:rFonts w:ascii="Arial" w:hAnsi="Arial" w:cs="Arial"/>
        </w:rPr>
        <w:t xml:space="preserve"> function </w:t>
      </w:r>
      <w:r>
        <w:rPr>
          <w:rFonts w:ascii="Arial" w:hAnsi="Arial" w:cs="Arial"/>
        </w:rPr>
        <w:t>due to</w:t>
      </w:r>
      <w:r w:rsidRPr="00187E30">
        <w:rPr>
          <w:rFonts w:ascii="Arial" w:hAnsi="Arial" w:cs="Arial"/>
        </w:rPr>
        <w:t xml:space="preserve"> AS-</w:t>
      </w:r>
      <w:r w:rsidRPr="00187E30">
        <w:rPr>
          <w:rFonts w:ascii="Arial" w:hAnsi="Arial" w:cs="Arial"/>
          <w:i/>
          <w:iCs/>
        </w:rPr>
        <w:t>NFKB1</w:t>
      </w:r>
      <w:r w:rsidRPr="00187E30">
        <w:rPr>
          <w:rFonts w:ascii="Arial" w:hAnsi="Arial" w:cs="Arial"/>
        </w:rPr>
        <w:t>.</w:t>
      </w:r>
      <w:r>
        <w:rPr>
          <w:rFonts w:ascii="Arial" w:hAnsi="Arial" w:cs="Arial"/>
        </w:rPr>
        <w:t xml:space="preserve"> The evolutionary benefit of increased inflammation of Aymara remains to be identified.</w:t>
      </w:r>
    </w:p>
    <w:sectPr w:rsidR="0088182E" w:rsidSect="002159F5">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88"/>
    <w:rsid w:val="000E2A4F"/>
    <w:rsid w:val="000F719B"/>
    <w:rsid w:val="002159F5"/>
    <w:rsid w:val="00273603"/>
    <w:rsid w:val="003627AD"/>
    <w:rsid w:val="004A19EB"/>
    <w:rsid w:val="0053142D"/>
    <w:rsid w:val="005F21FE"/>
    <w:rsid w:val="00680857"/>
    <w:rsid w:val="00760750"/>
    <w:rsid w:val="00796B53"/>
    <w:rsid w:val="0088182E"/>
    <w:rsid w:val="00917F32"/>
    <w:rsid w:val="00933DD4"/>
    <w:rsid w:val="00964719"/>
    <w:rsid w:val="009F7C88"/>
    <w:rsid w:val="00AF2096"/>
    <w:rsid w:val="00AF3CE5"/>
    <w:rsid w:val="00BF7BC0"/>
    <w:rsid w:val="00CC4E8A"/>
    <w:rsid w:val="00DA29BD"/>
    <w:rsid w:val="00DE1811"/>
    <w:rsid w:val="00E815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0E7C"/>
  <w15:chartTrackingRefBased/>
  <w15:docId w15:val="{644FB3BC-2634-4D58-B974-A3387CB2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C88"/>
    <w:pPr>
      <w:spacing w:line="259" w:lineRule="auto"/>
    </w:pPr>
    <w:rPr>
      <w:rFonts w:eastAsiaTheme="minorHAnsi"/>
      <w:kern w:val="0"/>
      <w:sz w:val="22"/>
      <w:szCs w:val="22"/>
      <w:lang w:eastAsia="en-US"/>
    </w:rPr>
  </w:style>
  <w:style w:type="paragraph" w:styleId="Heading1">
    <w:name w:val="heading 1"/>
    <w:basedOn w:val="Normal"/>
    <w:next w:val="Normal"/>
    <w:link w:val="Heading1Char"/>
    <w:uiPriority w:val="9"/>
    <w:qFormat/>
    <w:rsid w:val="009F7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C88"/>
    <w:rPr>
      <w:rFonts w:eastAsiaTheme="majorEastAsia" w:cstheme="majorBidi"/>
      <w:color w:val="272727" w:themeColor="text1" w:themeTint="D8"/>
    </w:rPr>
  </w:style>
  <w:style w:type="paragraph" w:styleId="Title">
    <w:name w:val="Title"/>
    <w:basedOn w:val="Normal"/>
    <w:next w:val="Normal"/>
    <w:link w:val="TitleChar"/>
    <w:uiPriority w:val="10"/>
    <w:qFormat/>
    <w:rsid w:val="009F7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C88"/>
    <w:pPr>
      <w:spacing w:before="160"/>
      <w:jc w:val="center"/>
    </w:pPr>
    <w:rPr>
      <w:i/>
      <w:iCs/>
      <w:color w:val="404040" w:themeColor="text1" w:themeTint="BF"/>
    </w:rPr>
  </w:style>
  <w:style w:type="character" w:customStyle="1" w:styleId="QuoteChar">
    <w:name w:val="Quote Char"/>
    <w:basedOn w:val="DefaultParagraphFont"/>
    <w:link w:val="Quote"/>
    <w:uiPriority w:val="29"/>
    <w:rsid w:val="009F7C88"/>
    <w:rPr>
      <w:i/>
      <w:iCs/>
      <w:color w:val="404040" w:themeColor="text1" w:themeTint="BF"/>
    </w:rPr>
  </w:style>
  <w:style w:type="paragraph" w:styleId="ListParagraph">
    <w:name w:val="List Paragraph"/>
    <w:basedOn w:val="Normal"/>
    <w:uiPriority w:val="34"/>
    <w:qFormat/>
    <w:rsid w:val="009F7C88"/>
    <w:pPr>
      <w:ind w:left="720"/>
      <w:contextualSpacing/>
    </w:pPr>
  </w:style>
  <w:style w:type="character" w:styleId="IntenseEmphasis">
    <w:name w:val="Intense Emphasis"/>
    <w:basedOn w:val="DefaultParagraphFont"/>
    <w:uiPriority w:val="21"/>
    <w:qFormat/>
    <w:rsid w:val="009F7C88"/>
    <w:rPr>
      <w:i/>
      <w:iCs/>
      <w:color w:val="0F4761" w:themeColor="accent1" w:themeShade="BF"/>
    </w:rPr>
  </w:style>
  <w:style w:type="paragraph" w:styleId="IntenseQuote">
    <w:name w:val="Intense Quote"/>
    <w:basedOn w:val="Normal"/>
    <w:next w:val="Normal"/>
    <w:link w:val="IntenseQuoteChar"/>
    <w:uiPriority w:val="30"/>
    <w:qFormat/>
    <w:rsid w:val="009F7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88"/>
    <w:rPr>
      <w:i/>
      <w:iCs/>
      <w:color w:val="0F4761" w:themeColor="accent1" w:themeShade="BF"/>
    </w:rPr>
  </w:style>
  <w:style w:type="character" w:styleId="IntenseReference">
    <w:name w:val="Intense Reference"/>
    <w:basedOn w:val="DefaultParagraphFont"/>
    <w:uiPriority w:val="32"/>
    <w:qFormat/>
    <w:rsid w:val="009F7C88"/>
    <w:rPr>
      <w:b/>
      <w:bCs/>
      <w:smallCaps/>
      <w:color w:val="0F4761" w:themeColor="accent1" w:themeShade="BF"/>
      <w:spacing w:val="5"/>
    </w:rPr>
  </w:style>
  <w:style w:type="paragraph" w:styleId="Revision">
    <w:name w:val="Revision"/>
    <w:hidden/>
    <w:uiPriority w:val="99"/>
    <w:semiHidden/>
    <w:rsid w:val="000F719B"/>
    <w:pPr>
      <w:spacing w:after="0" w:line="240" w:lineRule="auto"/>
    </w:pPr>
    <w:rPr>
      <w:rFonts w:eastAsiaTheme="minorHAns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JIHYUN SONG</dc:creator>
  <cp:keywords/>
  <dc:description/>
  <cp:lastModifiedBy>Josef Prchal</cp:lastModifiedBy>
  <cp:revision>2</cp:revision>
  <dcterms:created xsi:type="dcterms:W3CDTF">2024-05-15T01:03:00Z</dcterms:created>
  <dcterms:modified xsi:type="dcterms:W3CDTF">2024-05-15T01:03:00Z</dcterms:modified>
</cp:coreProperties>
</file>