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107" w:rsidRDefault="00BF4107" w:rsidP="00BF4107">
      <w:pPr>
        <w:spacing w:before="240"/>
        <w:rPr>
          <w:rFonts w:ascii="Arial" w:hAnsi="Arial" w:cs="Arial"/>
          <w:sz w:val="22"/>
          <w:szCs w:val="22"/>
          <w:lang w:val="en-US"/>
        </w:rPr>
      </w:pPr>
      <w:bookmarkStart w:id="0" w:name="_GoBack"/>
      <w:r>
        <w:rPr>
          <w:rFonts w:ascii="Arial" w:hAnsi="Arial" w:cs="Arial"/>
          <w:sz w:val="22"/>
          <w:szCs w:val="22"/>
          <w:lang w:val="en-US"/>
        </w:rPr>
        <w:t xml:space="preserve">Title: Tumor adaptation to </w:t>
      </w:r>
      <w:proofErr w:type="spellStart"/>
      <w:r>
        <w:rPr>
          <w:rFonts w:ascii="Arial" w:hAnsi="Arial" w:cs="Arial"/>
          <w:sz w:val="22"/>
          <w:szCs w:val="22"/>
          <w:lang w:val="en-US"/>
        </w:rPr>
        <w:t>hyperoxic</w:t>
      </w:r>
      <w:proofErr w:type="spellEnd"/>
      <w:r>
        <w:rPr>
          <w:rFonts w:ascii="Arial" w:hAnsi="Arial" w:cs="Arial"/>
          <w:sz w:val="22"/>
          <w:szCs w:val="22"/>
          <w:lang w:val="en-US"/>
        </w:rPr>
        <w:t xml:space="preserve"> and PARP inhibitors treatment.</w:t>
      </w:r>
    </w:p>
    <w:bookmarkEnd w:id="0"/>
    <w:p w:rsidR="00BF4107" w:rsidRDefault="00BF4107" w:rsidP="00BE3958">
      <w:pPr>
        <w:spacing w:before="24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Authors:</w:t>
      </w:r>
    </w:p>
    <w:p w:rsidR="006F7FB0" w:rsidRPr="00D45B8D" w:rsidRDefault="00D45B8D" w:rsidP="00BF4107">
      <w:pPr>
        <w:spacing w:before="240"/>
        <w:rPr>
          <w:rFonts w:ascii="Arial" w:hAnsi="Arial" w:cs="Arial"/>
          <w:sz w:val="22"/>
          <w:szCs w:val="22"/>
        </w:rPr>
      </w:pPr>
      <w:r w:rsidRPr="00D45B8D">
        <w:rPr>
          <w:rFonts w:ascii="Arial" w:hAnsi="Arial" w:cs="Arial"/>
          <w:b/>
          <w:bCs/>
          <w:sz w:val="22"/>
          <w:szCs w:val="22"/>
          <w:u w:val="single"/>
        </w:rPr>
        <w:t>Ana Belén Herrera Campos</w:t>
      </w:r>
      <w:r w:rsidRPr="00D45B8D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1</w:t>
      </w:r>
      <w:r w:rsidRPr="00D45B8D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Estefanía Arias Torres</w:t>
      </w:r>
      <w:proofErr w:type="gramStart"/>
      <w:r w:rsidRPr="00D45B8D">
        <w:rPr>
          <w:rFonts w:ascii="Arial" w:hAnsi="Arial" w:cs="Arial"/>
          <w:sz w:val="22"/>
          <w:szCs w:val="22"/>
          <w:vertAlign w:val="superscript"/>
        </w:rPr>
        <w:t>1</w:t>
      </w:r>
      <w:r w:rsidRPr="00D45B8D">
        <w:rPr>
          <w:rFonts w:ascii="Arial" w:hAnsi="Arial" w:cs="Arial"/>
          <w:sz w:val="22"/>
          <w:szCs w:val="22"/>
        </w:rPr>
        <w:t>,  F</w:t>
      </w:r>
      <w:proofErr w:type="gramEnd"/>
      <w:r w:rsidRPr="00D45B8D">
        <w:rPr>
          <w:rFonts w:ascii="Arial" w:hAnsi="Arial" w:cs="Arial"/>
          <w:sz w:val="22"/>
          <w:szCs w:val="22"/>
        </w:rPr>
        <w:t xml:space="preserve"> Javier Oliver</w:t>
      </w:r>
      <w:r w:rsidRPr="00D45B8D">
        <w:rPr>
          <w:rFonts w:ascii="Arial" w:hAnsi="Arial" w:cs="Arial"/>
          <w:sz w:val="22"/>
          <w:szCs w:val="22"/>
          <w:vertAlign w:val="superscript"/>
        </w:rPr>
        <w:t>1</w:t>
      </w:r>
      <w:r w:rsidRPr="00D45B8D">
        <w:rPr>
          <w:rFonts w:ascii="Arial" w:hAnsi="Arial" w:cs="Arial"/>
          <w:sz w:val="22"/>
          <w:szCs w:val="22"/>
        </w:rPr>
        <w:t>, Ángel García-Díaz</w:t>
      </w:r>
      <w:r w:rsidRPr="00D45B8D">
        <w:rPr>
          <w:rFonts w:ascii="Arial" w:hAnsi="Arial" w:cs="Arial"/>
          <w:sz w:val="22"/>
          <w:szCs w:val="22"/>
          <w:vertAlign w:val="superscript"/>
        </w:rPr>
        <w:t>1</w:t>
      </w:r>
    </w:p>
    <w:p w:rsidR="00D45B8D" w:rsidRPr="00BF4107" w:rsidRDefault="00BF4107" w:rsidP="00BF4107">
      <w:pPr>
        <w:spacing w:before="240"/>
        <w:rPr>
          <w:rFonts w:ascii="Arial" w:hAnsi="Arial" w:cs="Arial"/>
          <w:sz w:val="22"/>
          <w:szCs w:val="22"/>
          <w:lang w:val="en-US"/>
        </w:rPr>
      </w:pPr>
      <w:r w:rsidRPr="00BF4107">
        <w:rPr>
          <w:rFonts w:ascii="Arial" w:hAnsi="Arial" w:cs="Arial"/>
          <w:sz w:val="22"/>
          <w:szCs w:val="22"/>
          <w:lang w:val="en-US"/>
        </w:rPr>
        <w:t xml:space="preserve">Affiliations: 1. </w:t>
      </w:r>
      <w:r w:rsidR="00D45B8D" w:rsidRPr="00BF4107">
        <w:rPr>
          <w:rFonts w:ascii="Arial" w:hAnsi="Arial" w:cs="Arial"/>
          <w:sz w:val="22"/>
          <w:szCs w:val="22"/>
          <w:lang w:val="en-US"/>
        </w:rPr>
        <w:t xml:space="preserve">Institute </w:t>
      </w:r>
      <w:proofErr w:type="gramStart"/>
      <w:r w:rsidR="00D45B8D" w:rsidRPr="00BF4107">
        <w:rPr>
          <w:rFonts w:ascii="Arial" w:hAnsi="Arial" w:cs="Arial"/>
          <w:sz w:val="22"/>
          <w:szCs w:val="22"/>
          <w:lang w:val="en-US"/>
        </w:rPr>
        <w:t>of  Parasitology</w:t>
      </w:r>
      <w:proofErr w:type="gramEnd"/>
      <w:r w:rsidR="00D45B8D" w:rsidRPr="00BF4107">
        <w:rPr>
          <w:rFonts w:ascii="Arial" w:hAnsi="Arial" w:cs="Arial"/>
          <w:sz w:val="22"/>
          <w:szCs w:val="22"/>
          <w:lang w:val="en-US"/>
        </w:rPr>
        <w:t xml:space="preserve"> and Biomedicine “</w:t>
      </w:r>
      <w:proofErr w:type="spellStart"/>
      <w:r w:rsidR="00D45B8D" w:rsidRPr="00BF4107">
        <w:rPr>
          <w:rFonts w:ascii="Arial" w:hAnsi="Arial" w:cs="Arial"/>
          <w:sz w:val="22"/>
          <w:szCs w:val="22"/>
          <w:lang w:val="en-US"/>
        </w:rPr>
        <w:t>López-Neyra</w:t>
      </w:r>
      <w:proofErr w:type="spellEnd"/>
      <w:r w:rsidR="00D45B8D" w:rsidRPr="00BF4107">
        <w:rPr>
          <w:rFonts w:ascii="Arial" w:hAnsi="Arial" w:cs="Arial"/>
          <w:sz w:val="22"/>
          <w:szCs w:val="22"/>
          <w:lang w:val="en-US"/>
        </w:rPr>
        <w:t>”, CSIC, Granada, Spain.</w:t>
      </w:r>
    </w:p>
    <w:p w:rsidR="00D45B8D" w:rsidRPr="00D45B8D" w:rsidRDefault="00D45B8D" w:rsidP="00BF4107">
      <w:pPr>
        <w:spacing w:before="240"/>
        <w:rPr>
          <w:rFonts w:ascii="Arial" w:hAnsi="Arial" w:cs="Arial"/>
          <w:sz w:val="22"/>
          <w:szCs w:val="22"/>
          <w:lang w:val="en-US"/>
        </w:rPr>
      </w:pPr>
    </w:p>
    <w:p w:rsidR="006F7FB0" w:rsidRDefault="006F7FB0" w:rsidP="00BF4107">
      <w:pPr>
        <w:spacing w:before="240"/>
        <w:rPr>
          <w:rFonts w:ascii="Arial" w:hAnsi="Arial" w:cs="Arial"/>
          <w:sz w:val="22"/>
          <w:szCs w:val="22"/>
          <w:lang w:val="en-US"/>
        </w:rPr>
      </w:pPr>
    </w:p>
    <w:p w:rsidR="00BF4107" w:rsidRDefault="00BE3958" w:rsidP="00BF4107">
      <w:pPr>
        <w:rPr>
          <w:rFonts w:ascii="Arial" w:hAnsi="Arial" w:cs="Arial"/>
          <w:noProof/>
          <w:sz w:val="22"/>
          <w:szCs w:val="22"/>
          <w:lang w:val="en-US"/>
        </w:rPr>
      </w:pPr>
      <w:r w:rsidRPr="00072DBC">
        <w:rPr>
          <w:rFonts w:ascii="Arial" w:hAnsi="Arial" w:cs="Arial"/>
          <w:noProof/>
          <w:sz w:val="22"/>
          <w:szCs w:val="22"/>
          <w:lang w:val="en-US"/>
        </w:rPr>
        <w:t>The conditions of tumor cell growth are characterized by low oxygen supply (hypoxia) caused by insufficient blood delivery. Hypoxic cancers have a strong invasive potential, metastasis, and resistance to therapy. The key regulator of adaptation to tumor hypoxia is hypoxia inducible factor 1-α (HIF-1α).</w:t>
      </w:r>
      <w:r w:rsidRPr="00BE3958">
        <w:rPr>
          <w:lang w:val="en-US"/>
        </w:rPr>
        <w:t xml:space="preserve"> </w:t>
      </w:r>
      <w:r w:rsidRPr="00BE3958">
        <w:rPr>
          <w:rFonts w:ascii="Arial" w:hAnsi="Arial" w:cs="Arial"/>
          <w:noProof/>
          <w:sz w:val="22"/>
          <w:szCs w:val="22"/>
          <w:lang w:val="en-US"/>
        </w:rPr>
        <w:t xml:space="preserve"> Despite its significance, the underlying transformations that cause this highly aggressive behaviour are poorly understood, and specific pharmacological inhibition of HIF-1α activation in the tumor are not yet available. Our group has shown that PARP inhibitors (which are already used as antitumor therapy in specific contexts) can modulate HIF-1α levels and its activation. </w:t>
      </w:r>
      <w:r w:rsidR="00612879">
        <w:rPr>
          <w:rFonts w:ascii="Arial" w:hAnsi="Arial" w:cs="Arial"/>
          <w:noProof/>
          <w:sz w:val="22"/>
          <w:szCs w:val="22"/>
          <w:lang w:val="en-US"/>
        </w:rPr>
        <w:t>On the other hand, h</w:t>
      </w:r>
      <w:r w:rsidRPr="00072DBC">
        <w:rPr>
          <w:rFonts w:ascii="Arial" w:hAnsi="Arial" w:cs="Arial"/>
          <w:noProof/>
          <w:sz w:val="22"/>
          <w:szCs w:val="22"/>
          <w:lang w:val="en-US"/>
        </w:rPr>
        <w:t>yperoxia could be a clinically relevant treatment to fight tumors that present with hypoxia through the modification of tumor microenvironme</w:t>
      </w:r>
      <w:r>
        <w:rPr>
          <w:rFonts w:ascii="Arial" w:hAnsi="Arial" w:cs="Arial"/>
          <w:noProof/>
          <w:sz w:val="22"/>
          <w:szCs w:val="22"/>
          <w:lang w:val="en-US"/>
        </w:rPr>
        <w:t>nt.</w:t>
      </w:r>
    </w:p>
    <w:p w:rsidR="00BF4107" w:rsidRDefault="00BF4107" w:rsidP="00BF4107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6122D0" w:rsidRDefault="00BE3958" w:rsidP="00BF4107">
      <w:pPr>
        <w:rPr>
          <w:rFonts w:ascii="Arial" w:hAnsi="Arial" w:cs="Arial"/>
          <w:noProof/>
          <w:sz w:val="22"/>
          <w:szCs w:val="22"/>
          <w:lang w:val="en-US"/>
        </w:rPr>
      </w:pPr>
      <w:r w:rsidRPr="00072DBC">
        <w:rPr>
          <w:rFonts w:ascii="Arial" w:hAnsi="Arial" w:cs="Arial"/>
          <w:noProof/>
          <w:sz w:val="22"/>
          <w:szCs w:val="22"/>
          <w:lang w:val="en-US"/>
        </w:rPr>
        <w:t>We aimed to study how</w:t>
      </w:r>
      <w:r>
        <w:rPr>
          <w:rFonts w:ascii="Arial" w:hAnsi="Arial" w:cs="Arial"/>
          <w:noProof/>
          <w:sz w:val="22"/>
          <w:szCs w:val="22"/>
          <w:lang w:val="en-US"/>
        </w:rPr>
        <w:t xml:space="preserve"> the joint use of</w:t>
      </w:r>
      <w:r w:rsidRPr="00072DBC">
        <w:rPr>
          <w:rFonts w:ascii="Arial" w:hAnsi="Arial" w:cs="Arial"/>
          <w:noProof/>
          <w:sz w:val="22"/>
          <w:szCs w:val="22"/>
          <w:lang w:val="en-US"/>
        </w:rPr>
        <w:t xml:space="preserve"> supplemental oxygen </w:t>
      </w:r>
      <w:r>
        <w:rPr>
          <w:rFonts w:ascii="Arial" w:hAnsi="Arial" w:cs="Arial"/>
          <w:noProof/>
          <w:sz w:val="22"/>
          <w:szCs w:val="22"/>
          <w:lang w:val="en-US"/>
        </w:rPr>
        <w:t xml:space="preserve">and PARP inhibitors </w:t>
      </w:r>
      <w:r w:rsidRPr="00072DBC">
        <w:rPr>
          <w:rFonts w:ascii="Arial" w:hAnsi="Arial" w:cs="Arial"/>
          <w:noProof/>
          <w:sz w:val="22"/>
          <w:szCs w:val="22"/>
          <w:lang w:val="en-US"/>
        </w:rPr>
        <w:t>can modulate tumor adaptation to hypoxia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>, reducing it aggressiveness.</w:t>
      </w:r>
    </w:p>
    <w:p w:rsidR="006122D0" w:rsidRDefault="006122D0" w:rsidP="00BF4107">
      <w:pPr>
        <w:spacing w:before="240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In order to achieve this, we have studied changes of reactive oxygen species (ROS). We have also performed analysis at transcriptomic levels through a RNA-seq and qPCR of genes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 xml:space="preserve"> of interest</w:t>
      </w:r>
      <w:r w:rsidR="00F86BD0">
        <w:rPr>
          <w:rFonts w:ascii="Arial" w:hAnsi="Arial" w:cs="Arial"/>
          <w:noProof/>
          <w:sz w:val="22"/>
          <w:szCs w:val="22"/>
          <w:lang w:val="en-US"/>
        </w:rPr>
        <w:t>, in particular of genes involved in inflammation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>. We have also studied</w:t>
      </w:r>
      <w:r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 xml:space="preserve">changes in </w:t>
      </w:r>
      <w:r>
        <w:rPr>
          <w:rFonts w:ascii="Arial" w:hAnsi="Arial" w:cs="Arial"/>
          <w:noProof/>
          <w:sz w:val="22"/>
          <w:szCs w:val="22"/>
          <w:lang w:val="en-US"/>
        </w:rPr>
        <w:t>protein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>s</w:t>
      </w:r>
      <w:r>
        <w:rPr>
          <w:rFonts w:ascii="Arial" w:hAnsi="Arial" w:cs="Arial"/>
          <w:noProof/>
          <w:sz w:val="22"/>
          <w:szCs w:val="22"/>
          <w:lang w:val="en-US"/>
        </w:rPr>
        <w:t xml:space="preserve"> involve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>d</w:t>
      </w:r>
      <w:r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F86BD0">
        <w:rPr>
          <w:rFonts w:ascii="Arial" w:hAnsi="Arial" w:cs="Arial"/>
          <w:noProof/>
          <w:sz w:val="22"/>
          <w:szCs w:val="22"/>
          <w:lang w:val="en-US"/>
        </w:rPr>
        <w:t>glycolysis, which is the most important metabolic reprogram of hypoxic tumor cells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 xml:space="preserve">. The effect over proliferation </w:t>
      </w:r>
      <w:r w:rsidR="00F86BD0">
        <w:rPr>
          <w:rFonts w:ascii="Arial" w:hAnsi="Arial" w:cs="Arial"/>
          <w:noProof/>
          <w:sz w:val="22"/>
          <w:szCs w:val="22"/>
          <w:lang w:val="en-US"/>
        </w:rPr>
        <w:t xml:space="preserve">and cell migration 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 xml:space="preserve">has </w:t>
      </w:r>
      <w:r w:rsidR="00F86BD0">
        <w:rPr>
          <w:rFonts w:ascii="Arial" w:hAnsi="Arial" w:cs="Arial"/>
          <w:noProof/>
          <w:sz w:val="22"/>
          <w:szCs w:val="22"/>
          <w:lang w:val="en-US"/>
        </w:rPr>
        <w:t xml:space="preserve">also </w:t>
      </w:r>
      <w:r w:rsidR="00BF4107">
        <w:rPr>
          <w:rFonts w:ascii="Arial" w:hAnsi="Arial" w:cs="Arial"/>
          <w:noProof/>
          <w:sz w:val="22"/>
          <w:szCs w:val="22"/>
          <w:lang w:val="en-US"/>
        </w:rPr>
        <w:t>been determined in this model.</w:t>
      </w:r>
    </w:p>
    <w:p w:rsidR="00471548" w:rsidRDefault="006F7FB0" w:rsidP="0067541B">
      <w:pPr>
        <w:spacing w:before="240"/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 xml:space="preserve">Our results show that </w:t>
      </w:r>
      <w:r w:rsidR="00F86BD0">
        <w:rPr>
          <w:rFonts w:ascii="Arial" w:hAnsi="Arial" w:cs="Arial"/>
          <w:noProof/>
          <w:sz w:val="22"/>
          <w:szCs w:val="22"/>
          <w:lang w:val="en-US"/>
        </w:rPr>
        <w:t xml:space="preserve">hyperoxia per se </w:t>
      </w:r>
      <w:r>
        <w:rPr>
          <w:rFonts w:ascii="Arial" w:hAnsi="Arial" w:cs="Arial"/>
          <w:noProof/>
          <w:sz w:val="22"/>
          <w:szCs w:val="22"/>
          <w:lang w:val="en-US"/>
        </w:rPr>
        <w:t>is able to re-wire</w:t>
      </w:r>
      <w:r w:rsidR="00BE3958" w:rsidRPr="00072DBC">
        <w:rPr>
          <w:rFonts w:ascii="Arial" w:hAnsi="Arial" w:cs="Arial"/>
          <w:noProof/>
          <w:sz w:val="22"/>
          <w:szCs w:val="22"/>
          <w:lang w:val="en-US"/>
        </w:rPr>
        <w:t xml:space="preserve"> metabolic adaptation and the inflammatory resp</w:t>
      </w:r>
      <w:r w:rsidR="0067541B">
        <w:rPr>
          <w:rFonts w:ascii="Arial" w:hAnsi="Arial" w:cs="Arial"/>
          <w:noProof/>
          <w:sz w:val="22"/>
          <w:szCs w:val="22"/>
          <w:lang w:val="en-US"/>
        </w:rPr>
        <w:t>onse</w:t>
      </w:r>
      <w:r w:rsidR="00F86BD0">
        <w:rPr>
          <w:rFonts w:ascii="Arial" w:hAnsi="Arial" w:cs="Arial"/>
          <w:noProof/>
          <w:sz w:val="22"/>
          <w:szCs w:val="22"/>
          <w:lang w:val="en-US"/>
        </w:rPr>
        <w:t xml:space="preserve"> while the concomitant treatment with the PARP inhibitor olaparib potentiated the effect of hyperoxia in metabolic re-wiring and in </w:t>
      </w:r>
      <w:r w:rsidR="00266A00">
        <w:rPr>
          <w:rFonts w:ascii="Arial" w:hAnsi="Arial" w:cs="Arial"/>
          <w:noProof/>
          <w:sz w:val="22"/>
          <w:szCs w:val="22"/>
          <w:lang w:val="en-US"/>
        </w:rPr>
        <w:t>the release of pro-inflammatory factors</w:t>
      </w:r>
      <w:r w:rsidR="0067541B">
        <w:rPr>
          <w:rFonts w:ascii="Arial" w:hAnsi="Arial" w:cs="Arial"/>
          <w:noProof/>
          <w:sz w:val="22"/>
          <w:szCs w:val="22"/>
          <w:lang w:val="en-US"/>
        </w:rPr>
        <w:t xml:space="preserve">. </w:t>
      </w:r>
      <w:r w:rsidR="00220E30" w:rsidRPr="00220E30">
        <w:rPr>
          <w:rFonts w:ascii="Arial" w:hAnsi="Arial" w:cs="Arial"/>
          <w:noProof/>
          <w:sz w:val="22"/>
          <w:szCs w:val="22"/>
          <w:lang w:val="en-US"/>
        </w:rPr>
        <w:t>Although the immediate effect of inflammation may result in increased tissue damage and early potentiation of protumor characteristics, the efficacy of some types of immunotherapy depends on the persistence of a “hot” proinflammatory tumor microenvironment. This could open new therapeutic avenues for boosting immunotherapy.</w:t>
      </w:r>
    </w:p>
    <w:p w:rsidR="00471548" w:rsidRDefault="00471548" w:rsidP="0067541B">
      <w:pPr>
        <w:spacing w:before="240"/>
        <w:rPr>
          <w:rFonts w:ascii="Arial" w:hAnsi="Arial" w:cs="Arial"/>
          <w:noProof/>
          <w:sz w:val="22"/>
          <w:szCs w:val="22"/>
          <w:lang w:val="en-US"/>
        </w:rPr>
      </w:pPr>
    </w:p>
    <w:p w:rsidR="00BE3958" w:rsidRPr="00072DBC" w:rsidRDefault="00BE3958" w:rsidP="0067541B">
      <w:pPr>
        <w:spacing w:before="240"/>
        <w:rPr>
          <w:rFonts w:ascii="Arial" w:hAnsi="Arial" w:cs="Arial"/>
          <w:noProof/>
          <w:sz w:val="22"/>
          <w:szCs w:val="22"/>
          <w:lang w:val="en-US"/>
        </w:rPr>
      </w:pPr>
    </w:p>
    <w:p w:rsidR="00B70B24" w:rsidRPr="00BE3958" w:rsidRDefault="00B70B24" w:rsidP="00BF4107">
      <w:pPr>
        <w:rPr>
          <w:lang w:val="en-US"/>
        </w:rPr>
      </w:pPr>
    </w:p>
    <w:sectPr w:rsidR="00B70B24" w:rsidRPr="00BE3958" w:rsidSect="00BF41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B71"/>
    <w:multiLevelType w:val="hybridMultilevel"/>
    <w:tmpl w:val="B66254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20"/>
    <w:rsid w:val="00220E30"/>
    <w:rsid w:val="00266A00"/>
    <w:rsid w:val="00471548"/>
    <w:rsid w:val="00556825"/>
    <w:rsid w:val="00565F20"/>
    <w:rsid w:val="005B3ABC"/>
    <w:rsid w:val="006122D0"/>
    <w:rsid w:val="00612879"/>
    <w:rsid w:val="0067541B"/>
    <w:rsid w:val="006F7FB0"/>
    <w:rsid w:val="00B70B24"/>
    <w:rsid w:val="00BE3958"/>
    <w:rsid w:val="00BF4107"/>
    <w:rsid w:val="00D45B8D"/>
    <w:rsid w:val="00E41F1D"/>
    <w:rsid w:val="00E42364"/>
    <w:rsid w:val="00F8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E18E"/>
  <w15:chartTrackingRefBased/>
  <w15:docId w15:val="{45C67ED0-A771-4F56-B4A8-0C4004A47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958"/>
    <w:pPr>
      <w:spacing w:after="0" w:line="240" w:lineRule="auto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45B8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86BD0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6BD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lab105</dc:creator>
  <cp:keywords/>
  <dc:description/>
  <cp:lastModifiedBy>lab105</cp:lastModifiedBy>
  <cp:revision>3</cp:revision>
  <dcterms:created xsi:type="dcterms:W3CDTF">2024-05-10T11:00:00Z</dcterms:created>
  <dcterms:modified xsi:type="dcterms:W3CDTF">2024-05-10T13:00:00Z</dcterms:modified>
</cp:coreProperties>
</file>