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09520" w14:textId="58D1AE66" w:rsidR="00C96CEC" w:rsidRPr="003772F6" w:rsidRDefault="00C96CEC" w:rsidP="00671288">
      <w:pPr>
        <w:spacing w:line="240" w:lineRule="auto"/>
        <w:rPr>
          <w:rFonts w:asciiTheme="minorBidi" w:hAnsiTheme="minorBidi"/>
          <w:b/>
          <w:kern w:val="0"/>
          <w14:ligatures w14:val="none"/>
        </w:rPr>
      </w:pPr>
      <w:r w:rsidRPr="003772F6">
        <w:rPr>
          <w:rFonts w:asciiTheme="minorBidi" w:hAnsiTheme="minorBidi"/>
          <w:b/>
          <w:kern w:val="0"/>
          <w14:ligatures w14:val="none"/>
        </w:rPr>
        <w:t xml:space="preserve">The myeloid-related loss of hypoxia-inducible factors promotes </w:t>
      </w:r>
      <w:r w:rsidR="00186536" w:rsidRPr="003772F6">
        <w:rPr>
          <w:rFonts w:asciiTheme="minorBidi" w:hAnsiTheme="minorBidi"/>
          <w:b/>
          <w:kern w:val="0"/>
          <w14:ligatures w14:val="none"/>
        </w:rPr>
        <w:t xml:space="preserve">the </w:t>
      </w:r>
      <w:r w:rsidRPr="003772F6">
        <w:rPr>
          <w:rFonts w:asciiTheme="minorBidi" w:hAnsiTheme="minorBidi"/>
          <w:b/>
          <w:kern w:val="0"/>
          <w14:ligatures w14:val="none"/>
        </w:rPr>
        <w:t>tumor initiation and metastasis</w:t>
      </w:r>
      <w:r w:rsidR="00186536" w:rsidRPr="003772F6">
        <w:rPr>
          <w:rFonts w:asciiTheme="minorBidi" w:hAnsiTheme="minorBidi"/>
          <w:b/>
          <w:kern w:val="0"/>
          <w14:ligatures w14:val="none"/>
        </w:rPr>
        <w:t xml:space="preserve"> in a spontaneous breast cancer model</w:t>
      </w:r>
    </w:p>
    <w:p w14:paraId="07A99534" w14:textId="77BC152B" w:rsidR="00FB7DA5" w:rsidRPr="003772F6" w:rsidRDefault="00FB7DA5" w:rsidP="00671288">
      <w:pPr>
        <w:pStyle w:val="xmsonormal"/>
        <w:rPr>
          <w:rFonts w:asciiTheme="minorBidi" w:hAnsiTheme="minorBidi" w:cstheme="minorBidi"/>
          <w:sz w:val="22"/>
          <w:szCs w:val="22"/>
        </w:rPr>
      </w:pPr>
      <w:r w:rsidRPr="003772F6">
        <w:rPr>
          <w:rFonts w:asciiTheme="minorBidi" w:hAnsiTheme="minorBidi" w:cstheme="minorBidi"/>
          <w:sz w:val="22"/>
          <w:szCs w:val="22"/>
          <w:u w:val="single"/>
        </w:rPr>
        <w:t>Johanna Tiebel</w:t>
      </w:r>
      <w:r w:rsidRPr="003772F6">
        <w:rPr>
          <w:rFonts w:asciiTheme="minorBidi" w:hAnsiTheme="minorBidi" w:cstheme="minorBidi"/>
          <w:sz w:val="22"/>
          <w:szCs w:val="22"/>
          <w:u w:val="single"/>
          <w:vertAlign w:val="superscript"/>
        </w:rPr>
        <w:t>1</w:t>
      </w:r>
      <w:r w:rsidRPr="003772F6">
        <w:rPr>
          <w:rFonts w:asciiTheme="minorBidi" w:hAnsiTheme="minorBidi" w:cstheme="minorBidi"/>
          <w:sz w:val="22"/>
          <w:szCs w:val="22"/>
          <w:vertAlign w:val="superscript"/>
        </w:rPr>
        <w:t>,*</w:t>
      </w:r>
      <w:r w:rsidRPr="003772F6">
        <w:rPr>
          <w:rFonts w:asciiTheme="minorBidi" w:hAnsiTheme="minorBidi" w:cstheme="minorBidi"/>
          <w:sz w:val="22"/>
          <w:szCs w:val="22"/>
        </w:rPr>
        <w:t>, Mangesh Jaykar</w:t>
      </w:r>
      <w:r w:rsidRPr="003772F6">
        <w:rPr>
          <w:rFonts w:asciiTheme="minorBidi" w:hAnsiTheme="minorBidi" w:cstheme="minorBidi"/>
          <w:sz w:val="22"/>
          <w:szCs w:val="22"/>
          <w:vertAlign w:val="superscript"/>
        </w:rPr>
        <w:t>1,*</w:t>
      </w:r>
      <w:r w:rsidRPr="003772F6">
        <w:rPr>
          <w:rFonts w:asciiTheme="minorBidi" w:hAnsiTheme="minorBidi" w:cstheme="minorBidi"/>
          <w:sz w:val="22"/>
          <w:szCs w:val="22"/>
        </w:rPr>
        <w:t>, Sundary Sormendi</w:t>
      </w:r>
      <w:r w:rsidRPr="003772F6">
        <w:rPr>
          <w:rFonts w:asciiTheme="minorBidi" w:hAnsiTheme="minorBidi" w:cstheme="minorBidi"/>
          <w:sz w:val="22"/>
          <w:szCs w:val="22"/>
          <w:vertAlign w:val="superscript"/>
        </w:rPr>
        <w:t>1,*</w:t>
      </w:r>
      <w:r w:rsidRPr="003772F6">
        <w:rPr>
          <w:rFonts w:asciiTheme="minorBidi" w:hAnsiTheme="minorBidi" w:cstheme="minorBidi"/>
          <w:sz w:val="22"/>
          <w:szCs w:val="22"/>
        </w:rPr>
        <w:t>, Soulafa Mamlouk</w:t>
      </w:r>
      <w:r w:rsidRPr="003772F6">
        <w:rPr>
          <w:rFonts w:asciiTheme="minorBidi" w:hAnsiTheme="minorBidi" w:cstheme="minorBidi"/>
          <w:sz w:val="22"/>
          <w:szCs w:val="22"/>
          <w:vertAlign w:val="superscript"/>
        </w:rPr>
        <w:t>1,2,3</w:t>
      </w:r>
      <w:r w:rsidR="006150A0" w:rsidRPr="003772F6">
        <w:rPr>
          <w:rFonts w:asciiTheme="minorBidi" w:hAnsiTheme="minorBidi" w:cstheme="minorBidi"/>
          <w:sz w:val="22"/>
          <w:szCs w:val="22"/>
        </w:rPr>
        <w:t>, Ben </w:t>
      </w:r>
      <w:r w:rsidRPr="003772F6">
        <w:rPr>
          <w:rFonts w:asciiTheme="minorBidi" w:hAnsiTheme="minorBidi" w:cstheme="minorBidi"/>
          <w:sz w:val="22"/>
          <w:szCs w:val="22"/>
        </w:rPr>
        <w:t>Wielockx</w:t>
      </w:r>
      <w:r w:rsidRPr="003772F6">
        <w:rPr>
          <w:rFonts w:asciiTheme="minorBidi" w:hAnsiTheme="minorBidi" w:cstheme="minorBidi"/>
          <w:sz w:val="22"/>
          <w:szCs w:val="22"/>
          <w:vertAlign w:val="superscript"/>
        </w:rPr>
        <w:t>1</w:t>
      </w:r>
    </w:p>
    <w:p w14:paraId="5A202B24" w14:textId="55168E12" w:rsidR="00A65D9E" w:rsidRDefault="00A65D9E" w:rsidP="00A65D9E">
      <w:pPr>
        <w:pStyle w:val="xmsolistparagraph"/>
        <w:spacing w:after="0" w:afterAutospacing="0"/>
        <w:ind w:left="85" w:hanging="85"/>
        <w:rPr>
          <w:rFonts w:asciiTheme="minorBidi" w:hAnsiTheme="minorBidi" w:cstheme="minorBidi"/>
          <w:sz w:val="22"/>
          <w:szCs w:val="22"/>
          <w:lang w:val="en-GB"/>
        </w:rPr>
      </w:pPr>
      <w:r w:rsidRPr="00A65D9E">
        <w:rPr>
          <w:rFonts w:asciiTheme="minorBidi" w:hAnsiTheme="minorBidi" w:cstheme="minorBidi"/>
          <w:sz w:val="22"/>
          <w:szCs w:val="22"/>
          <w:vertAlign w:val="superscript"/>
          <w:lang w:val="en-GB"/>
        </w:rPr>
        <w:t>1</w:t>
      </w:r>
      <w:r w:rsidR="00FB7DA5" w:rsidRPr="003772F6">
        <w:rPr>
          <w:rFonts w:asciiTheme="minorBidi" w:hAnsiTheme="minorBidi" w:cstheme="minorBidi"/>
          <w:sz w:val="22"/>
          <w:szCs w:val="22"/>
          <w:lang w:val="en-GB"/>
        </w:rPr>
        <w:t>Institute for Clinical Chemistry and Laboratory Medicine, Technische Universität Dresden,</w:t>
      </w:r>
      <w:r w:rsidR="006D011D">
        <w:rPr>
          <w:rFonts w:asciiTheme="minorBidi" w:hAnsiTheme="minorBidi" w:cstheme="minorBidi"/>
          <w:sz w:val="22"/>
          <w:szCs w:val="22"/>
          <w:lang w:val="en-GB"/>
        </w:rPr>
        <w:t xml:space="preserve"> </w:t>
      </w:r>
      <w:r w:rsidR="00FB7DA5" w:rsidRPr="003772F6">
        <w:rPr>
          <w:rFonts w:asciiTheme="minorBidi" w:hAnsiTheme="minorBidi" w:cstheme="minorBidi"/>
          <w:sz w:val="22"/>
          <w:szCs w:val="22"/>
          <w:lang w:val="en-GB"/>
        </w:rPr>
        <w:t>01307 Dresden, Germany.</w:t>
      </w:r>
    </w:p>
    <w:p w14:paraId="5CCF7D2F" w14:textId="12F04A90" w:rsidR="00FB7DA5" w:rsidRPr="00A65D9E" w:rsidRDefault="00A65D9E" w:rsidP="00A65D9E">
      <w:pPr>
        <w:pStyle w:val="xmsolistparagraph"/>
        <w:spacing w:before="0" w:beforeAutospacing="0" w:after="0" w:afterAutospacing="0"/>
        <w:ind w:left="85" w:hanging="85"/>
        <w:rPr>
          <w:rFonts w:asciiTheme="minorBidi" w:hAnsiTheme="minorBidi" w:cstheme="minorBidi"/>
          <w:sz w:val="22"/>
          <w:szCs w:val="22"/>
        </w:rPr>
      </w:pPr>
      <w:r w:rsidRPr="00A65D9E">
        <w:rPr>
          <w:rFonts w:asciiTheme="minorBidi" w:hAnsiTheme="minorBidi" w:cstheme="minorBidi"/>
          <w:sz w:val="22"/>
          <w:szCs w:val="22"/>
          <w:vertAlign w:val="superscript"/>
          <w:lang w:val="en-GB"/>
        </w:rPr>
        <w:t>2</w:t>
      </w:r>
      <w:r w:rsidR="00FB7DA5" w:rsidRPr="003772F6">
        <w:rPr>
          <w:rFonts w:asciiTheme="minorBidi" w:hAnsiTheme="minorBidi" w:cstheme="minorBidi"/>
          <w:color w:val="212121"/>
          <w:sz w:val="22"/>
          <w:szCs w:val="22"/>
        </w:rPr>
        <w:t xml:space="preserve">Institute of Pathology, Charité Universitätsmedizin Berlin, </w:t>
      </w:r>
      <w:r w:rsidR="006D011D">
        <w:rPr>
          <w:rFonts w:asciiTheme="minorBidi" w:hAnsiTheme="minorBidi" w:cstheme="minorBidi"/>
          <w:color w:val="212121"/>
          <w:sz w:val="22"/>
          <w:szCs w:val="22"/>
        </w:rPr>
        <w:t xml:space="preserve">10117 </w:t>
      </w:r>
      <w:r w:rsidR="00FB7DA5" w:rsidRPr="003772F6">
        <w:rPr>
          <w:rFonts w:asciiTheme="minorBidi" w:hAnsiTheme="minorBidi" w:cstheme="minorBidi"/>
          <w:color w:val="212121"/>
          <w:sz w:val="22"/>
          <w:szCs w:val="22"/>
        </w:rPr>
        <w:t xml:space="preserve">Berlin, Germany. </w:t>
      </w:r>
    </w:p>
    <w:p w14:paraId="73DC9132" w14:textId="3E6D4DBA" w:rsidR="009D3D50" w:rsidRPr="009D3D50" w:rsidRDefault="00A65D9E" w:rsidP="00A65D9E">
      <w:pPr>
        <w:pStyle w:val="xmsonormal"/>
        <w:shd w:val="clear" w:color="auto" w:fill="FFFFFF"/>
        <w:spacing w:before="0" w:beforeAutospacing="0"/>
        <w:rPr>
          <w:rFonts w:asciiTheme="minorBidi" w:hAnsiTheme="minorBidi" w:cstheme="minorBidi"/>
          <w:sz w:val="22"/>
          <w:szCs w:val="22"/>
        </w:rPr>
      </w:pPr>
      <w:r w:rsidRPr="00A65D9E">
        <w:rPr>
          <w:rFonts w:asciiTheme="minorBidi" w:hAnsiTheme="minorBidi" w:cstheme="minorBidi"/>
          <w:color w:val="212121"/>
          <w:sz w:val="22"/>
          <w:szCs w:val="22"/>
          <w:vertAlign w:val="superscript"/>
        </w:rPr>
        <w:t>3</w:t>
      </w:r>
      <w:r w:rsidR="00FB7DA5" w:rsidRPr="003772F6">
        <w:rPr>
          <w:rFonts w:asciiTheme="minorBidi" w:hAnsiTheme="minorBidi" w:cstheme="minorBidi"/>
          <w:color w:val="212121"/>
          <w:sz w:val="22"/>
          <w:szCs w:val="22"/>
        </w:rPr>
        <w:t xml:space="preserve">German Cancer Consortium (DKTK), </w:t>
      </w:r>
      <w:r w:rsidR="006D011D">
        <w:rPr>
          <w:rFonts w:asciiTheme="minorBidi" w:hAnsiTheme="minorBidi" w:cstheme="minorBidi"/>
          <w:color w:val="212121"/>
          <w:sz w:val="22"/>
          <w:szCs w:val="22"/>
        </w:rPr>
        <w:t xml:space="preserve">69120 </w:t>
      </w:r>
      <w:r w:rsidR="00FB7DA5" w:rsidRPr="003772F6">
        <w:rPr>
          <w:rFonts w:asciiTheme="minorBidi" w:hAnsiTheme="minorBidi" w:cstheme="minorBidi"/>
          <w:color w:val="212121"/>
          <w:sz w:val="22"/>
          <w:szCs w:val="22"/>
        </w:rPr>
        <w:t xml:space="preserve">Heidelberg, Germany. </w:t>
      </w:r>
      <w:r w:rsidR="003345BF" w:rsidRPr="003772F6">
        <w:rPr>
          <w:rFonts w:asciiTheme="minorBidi" w:hAnsiTheme="minorBidi" w:cstheme="minorBidi"/>
          <w:color w:val="212121"/>
          <w:sz w:val="22"/>
          <w:szCs w:val="22"/>
        </w:rPr>
        <w:br/>
      </w:r>
      <w:r w:rsidR="00FB7DA5" w:rsidRPr="003772F6">
        <w:rPr>
          <w:rFonts w:asciiTheme="minorBidi" w:hAnsiTheme="minorBidi" w:cstheme="minorBidi"/>
          <w:sz w:val="22"/>
          <w:szCs w:val="22"/>
        </w:rPr>
        <w:t>* equally contributed as first authors</w:t>
      </w:r>
    </w:p>
    <w:p w14:paraId="5CBD0ECA" w14:textId="450283A9" w:rsidR="003B172A" w:rsidRPr="006150A0" w:rsidRDefault="00A964E2" w:rsidP="00671288">
      <w:pPr>
        <w:spacing w:line="240" w:lineRule="auto"/>
        <w:rPr>
          <w:rFonts w:asciiTheme="minorBidi" w:hAnsiTheme="minorBidi"/>
        </w:rPr>
      </w:pPr>
      <w:r w:rsidRPr="006150A0">
        <w:rPr>
          <w:rFonts w:asciiTheme="minorBidi" w:hAnsiTheme="minorBidi"/>
          <w:bCs/>
          <w:kern w:val="0"/>
          <w14:ligatures w14:val="none"/>
        </w:rPr>
        <w:t>Hypoxia is a common feature of the tumor microenvironment (TME) and leads to an adaptive response that is transcriptionally regulated by hypoxia-inducible factors (HIFs). TME</w:t>
      </w:r>
      <w:r w:rsidR="003772F6">
        <w:rPr>
          <w:rFonts w:asciiTheme="minorBidi" w:hAnsiTheme="minorBidi"/>
          <w:bCs/>
          <w:kern w:val="0"/>
          <w14:ligatures w14:val="none"/>
        </w:rPr>
        <w:noBreakHyphen/>
      </w:r>
      <w:r w:rsidRPr="006150A0">
        <w:rPr>
          <w:rFonts w:asciiTheme="minorBidi" w:hAnsiTheme="minorBidi"/>
          <w:bCs/>
          <w:kern w:val="0"/>
          <w14:ligatures w14:val="none"/>
        </w:rPr>
        <w:t>associated HIFs have been the subject of previous research. However, their role during tumorigenesis is not fully understood. In the current project, we investigated the role of myeloid-associated HIFs in the context of spontaneous tumorigenesis using different transgenic MMTV-PyMT mammary carcinoma mouse models. In all different settings, inhibition and/or deficiency of HIFs in monocytes</w:t>
      </w:r>
      <w:r w:rsidR="006974DB">
        <w:rPr>
          <w:rFonts w:asciiTheme="minorBidi" w:hAnsiTheme="minorBidi"/>
          <w:bCs/>
          <w:kern w:val="0"/>
          <w14:ligatures w14:val="none"/>
        </w:rPr>
        <w:t xml:space="preserve"> and </w:t>
      </w:r>
      <w:r w:rsidRPr="006150A0">
        <w:rPr>
          <w:rFonts w:asciiTheme="minorBidi" w:hAnsiTheme="minorBidi"/>
          <w:bCs/>
          <w:kern w:val="0"/>
          <w14:ligatures w14:val="none"/>
        </w:rPr>
        <w:t>granulocytes was associated with earlier tumor initiation. Bot</w:t>
      </w:r>
      <w:r w:rsidR="00B73F9F">
        <w:rPr>
          <w:rFonts w:asciiTheme="minorBidi" w:hAnsiTheme="minorBidi"/>
          <w:bCs/>
          <w:kern w:val="0"/>
          <w14:ligatures w14:val="none"/>
        </w:rPr>
        <w:t>h CD68:PHD2Tg</w:t>
      </w:r>
      <w:r w:rsidR="006C77DC">
        <w:rPr>
          <w:rFonts w:asciiTheme="minorBidi" w:hAnsiTheme="minorBidi"/>
          <w:bCs/>
          <w:kern w:val="0"/>
          <w14:ligatures w14:val="none"/>
        </w:rPr>
        <w:noBreakHyphen/>
      </w:r>
      <w:r w:rsidR="00B73F9F">
        <w:rPr>
          <w:rFonts w:asciiTheme="minorBidi" w:hAnsiTheme="minorBidi"/>
          <w:bCs/>
          <w:kern w:val="0"/>
          <w14:ligatures w14:val="none"/>
        </w:rPr>
        <w:t>MMTV</w:t>
      </w:r>
      <w:r w:rsidR="006C77DC">
        <w:rPr>
          <w:rFonts w:asciiTheme="minorBidi" w:hAnsiTheme="minorBidi"/>
          <w:bCs/>
          <w:kern w:val="0"/>
          <w14:ligatures w14:val="none"/>
        </w:rPr>
        <w:t>-PyMT</w:t>
      </w:r>
      <w:r w:rsidR="00B73F9F">
        <w:rPr>
          <w:rFonts w:asciiTheme="minorBidi" w:hAnsiTheme="minorBidi"/>
          <w:bCs/>
          <w:kern w:val="0"/>
          <w14:ligatures w14:val="none"/>
        </w:rPr>
        <w:t xml:space="preserve"> and</w:t>
      </w:r>
      <w:r w:rsidR="00622FDD">
        <w:rPr>
          <w:rFonts w:asciiTheme="minorBidi" w:hAnsiTheme="minorBidi"/>
          <w:bCs/>
          <w:kern w:val="0"/>
          <w14:ligatures w14:val="none"/>
        </w:rPr>
        <w:t xml:space="preserve"> L</w:t>
      </w:r>
      <w:r w:rsidR="00B73F9F">
        <w:rPr>
          <w:rFonts w:asciiTheme="minorBidi" w:hAnsiTheme="minorBidi"/>
          <w:bCs/>
          <w:kern w:val="0"/>
          <w14:ligatures w14:val="none"/>
        </w:rPr>
        <w:t>ysM:cre</w:t>
      </w:r>
      <w:r w:rsidR="006C77DC">
        <w:rPr>
          <w:rFonts w:asciiTheme="minorBidi" w:hAnsiTheme="minorBidi"/>
          <w:bCs/>
          <w:kern w:val="0"/>
          <w14:ligatures w14:val="none"/>
        </w:rPr>
        <w:noBreakHyphen/>
      </w:r>
      <w:r w:rsidR="00B73F9F">
        <w:rPr>
          <w:rFonts w:asciiTheme="minorBidi" w:hAnsiTheme="minorBidi"/>
          <w:bCs/>
          <w:kern w:val="0"/>
          <w14:ligatures w14:val="none"/>
        </w:rPr>
        <w:t>HIF1</w:t>
      </w:r>
      <w:r w:rsidR="006C77DC">
        <w:rPr>
          <w:rFonts w:asciiTheme="minorBidi" w:hAnsiTheme="minorBidi"/>
          <w:bCs/>
          <w:kern w:val="0"/>
          <w14:ligatures w14:val="none"/>
        </w:rPr>
        <w:t>α</w:t>
      </w:r>
      <w:r w:rsidR="00B73F9F">
        <w:rPr>
          <w:rFonts w:asciiTheme="minorBidi" w:hAnsiTheme="minorBidi"/>
          <w:bCs/>
          <w:kern w:val="0"/>
          <w14:ligatures w14:val="none"/>
        </w:rPr>
        <w:t>/HIF2</w:t>
      </w:r>
      <w:r w:rsidR="006C77DC">
        <w:rPr>
          <w:rFonts w:asciiTheme="minorBidi" w:hAnsiTheme="minorBidi"/>
          <w:bCs/>
          <w:kern w:val="0"/>
          <w14:ligatures w14:val="none"/>
        </w:rPr>
        <w:t>α</w:t>
      </w:r>
      <w:r w:rsidR="00B73F9F" w:rsidRPr="00B73F9F">
        <w:rPr>
          <w:rFonts w:asciiTheme="minorBidi" w:hAnsiTheme="minorBidi"/>
          <w:bCs/>
          <w:kern w:val="0"/>
          <w:vertAlign w:val="superscript"/>
          <w14:ligatures w14:val="none"/>
        </w:rPr>
        <w:t>ff/ff</w:t>
      </w:r>
      <w:r w:rsidR="006C77DC">
        <w:rPr>
          <w:rFonts w:asciiTheme="minorBidi" w:hAnsiTheme="minorBidi"/>
          <w:bCs/>
          <w:kern w:val="0"/>
          <w14:ligatures w14:val="none"/>
        </w:rPr>
        <w:noBreakHyphen/>
      </w:r>
      <w:r w:rsidRPr="006150A0">
        <w:rPr>
          <w:rFonts w:asciiTheme="minorBidi" w:hAnsiTheme="minorBidi"/>
          <w:bCs/>
          <w:kern w:val="0"/>
          <w14:ligatures w14:val="none"/>
        </w:rPr>
        <w:t>MMTV</w:t>
      </w:r>
      <w:r w:rsidR="006C77DC">
        <w:rPr>
          <w:rFonts w:asciiTheme="minorBidi" w:hAnsiTheme="minorBidi"/>
          <w:bCs/>
          <w:kern w:val="0"/>
          <w14:ligatures w14:val="none"/>
        </w:rPr>
        <w:noBreakHyphen/>
        <w:t>PyMT</w:t>
      </w:r>
      <w:r w:rsidRPr="006150A0">
        <w:rPr>
          <w:rFonts w:asciiTheme="minorBidi" w:hAnsiTheme="minorBidi"/>
          <w:bCs/>
          <w:kern w:val="0"/>
          <w14:ligatures w14:val="none"/>
        </w:rPr>
        <w:t xml:space="preserve"> mice showed an increased number of neutrophils in the initiating mammary tumor and, at a later stage, more invasive and aggressive lung metastasis. Furthermore</w:t>
      </w:r>
      <w:r w:rsidR="003772F6">
        <w:rPr>
          <w:rFonts w:asciiTheme="minorBidi" w:hAnsiTheme="minorBidi"/>
          <w:bCs/>
          <w:kern w:val="0"/>
          <w14:ligatures w14:val="none"/>
        </w:rPr>
        <w:t xml:space="preserve">, </w:t>
      </w:r>
      <w:r w:rsidRPr="006150A0">
        <w:rPr>
          <w:rFonts w:asciiTheme="minorBidi" w:hAnsiTheme="minorBidi"/>
          <w:bCs/>
          <w:kern w:val="0"/>
          <w14:ligatures w14:val="none"/>
        </w:rPr>
        <w:t>bone marrow-derived m</w:t>
      </w:r>
      <w:r w:rsidR="00B73F9F">
        <w:rPr>
          <w:rFonts w:asciiTheme="minorBidi" w:hAnsiTheme="minorBidi"/>
          <w:bCs/>
          <w:kern w:val="0"/>
          <w14:ligatures w14:val="none"/>
        </w:rPr>
        <w:t>acrophages (BMDM) from LysM:cre</w:t>
      </w:r>
      <w:r w:rsidR="006C77DC">
        <w:rPr>
          <w:rFonts w:asciiTheme="minorBidi" w:hAnsiTheme="minorBidi"/>
          <w:bCs/>
          <w:kern w:val="0"/>
          <w14:ligatures w14:val="none"/>
        </w:rPr>
        <w:noBreakHyphen/>
      </w:r>
      <w:r w:rsidRPr="006150A0">
        <w:rPr>
          <w:rFonts w:asciiTheme="minorBidi" w:hAnsiTheme="minorBidi"/>
          <w:bCs/>
          <w:kern w:val="0"/>
          <w14:ligatures w14:val="none"/>
        </w:rPr>
        <w:t>HIF1</w:t>
      </w:r>
      <w:r w:rsidR="006C77DC">
        <w:rPr>
          <w:rFonts w:asciiTheme="minorBidi" w:hAnsiTheme="minorBidi"/>
          <w:bCs/>
          <w:kern w:val="0"/>
          <w14:ligatures w14:val="none"/>
        </w:rPr>
        <w:t>α</w:t>
      </w:r>
      <w:r w:rsidRPr="006150A0">
        <w:rPr>
          <w:rFonts w:asciiTheme="minorBidi" w:hAnsiTheme="minorBidi"/>
          <w:bCs/>
          <w:kern w:val="0"/>
          <w14:ligatures w14:val="none"/>
        </w:rPr>
        <w:t>/HIF2</w:t>
      </w:r>
      <w:r w:rsidR="006C77DC">
        <w:rPr>
          <w:rFonts w:asciiTheme="minorBidi" w:hAnsiTheme="minorBidi"/>
          <w:bCs/>
          <w:kern w:val="0"/>
          <w14:ligatures w14:val="none"/>
        </w:rPr>
        <w:t>α</w:t>
      </w:r>
      <w:r w:rsidRPr="00B73F9F">
        <w:rPr>
          <w:rFonts w:asciiTheme="minorBidi" w:hAnsiTheme="minorBidi"/>
          <w:bCs/>
          <w:kern w:val="0"/>
          <w:vertAlign w:val="superscript"/>
          <w14:ligatures w14:val="none"/>
        </w:rPr>
        <w:t xml:space="preserve">ff/ff </w:t>
      </w:r>
      <w:r w:rsidRPr="006150A0">
        <w:rPr>
          <w:rFonts w:asciiTheme="minorBidi" w:hAnsiTheme="minorBidi"/>
          <w:bCs/>
          <w:kern w:val="0"/>
          <w14:ligatures w14:val="none"/>
        </w:rPr>
        <w:t>mice exhibited a clear M2-like phenotype when cultured in MMTV</w:t>
      </w:r>
      <w:r w:rsidR="006C77DC">
        <w:rPr>
          <w:rFonts w:asciiTheme="minorBidi" w:hAnsiTheme="minorBidi"/>
          <w:bCs/>
          <w:kern w:val="0"/>
          <w14:ligatures w14:val="none"/>
        </w:rPr>
        <w:noBreakHyphen/>
      </w:r>
      <w:r w:rsidRPr="006150A0">
        <w:rPr>
          <w:rFonts w:asciiTheme="minorBidi" w:hAnsiTheme="minorBidi"/>
          <w:bCs/>
          <w:kern w:val="0"/>
          <w14:ligatures w14:val="none"/>
        </w:rPr>
        <w:t>conditioned medium compared to WT littermate BMDM. However, our experiments did not confirm a direct role for hematopoietic stem and progenitor cells (HSPCs) and/or mature immune cells in bone marrow, spleen and blood. Recently, we have shown that the impact of the PHD2/HIF axis is limited to HIF2 as a central regulator of antitumor activity in myeloid cells during the early phases of tumor initiation and late metastasis.</w:t>
      </w:r>
    </w:p>
    <w:p w14:paraId="3605BE8B" w14:textId="77777777" w:rsidR="003B172A" w:rsidRDefault="003B172A" w:rsidP="00671288">
      <w:pPr>
        <w:spacing w:line="360" w:lineRule="auto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FAFFBE3" w14:textId="77777777" w:rsidR="003B172A" w:rsidRDefault="003B172A" w:rsidP="00671288">
      <w:pP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531BC9E" w14:textId="201DC980" w:rsidR="003B172A" w:rsidRDefault="003B172A" w:rsidP="00671288">
      <w:pPr>
        <w:tabs>
          <w:tab w:val="left" w:pos="1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DF4AAFB" w14:textId="77777777" w:rsidR="003B172A" w:rsidRDefault="003B172A" w:rsidP="00671288">
      <w:pPr>
        <w:tabs>
          <w:tab w:val="left" w:pos="1450"/>
        </w:tabs>
        <w:rPr>
          <w:rFonts w:ascii="Times New Roman" w:hAnsi="Times New Roman" w:cs="Times New Roman"/>
          <w:sz w:val="24"/>
          <w:szCs w:val="24"/>
        </w:rPr>
      </w:pPr>
    </w:p>
    <w:p w14:paraId="1827A37B" w14:textId="77777777" w:rsidR="003B172A" w:rsidRDefault="003B172A" w:rsidP="00671288">
      <w:pPr>
        <w:tabs>
          <w:tab w:val="left" w:pos="1450"/>
        </w:tabs>
        <w:rPr>
          <w:rFonts w:ascii="Times New Roman" w:hAnsi="Times New Roman" w:cs="Times New Roman"/>
          <w:sz w:val="24"/>
          <w:szCs w:val="24"/>
        </w:rPr>
      </w:pPr>
    </w:p>
    <w:p w14:paraId="35D4E2C1" w14:textId="38E3FE20" w:rsidR="003B172A" w:rsidRPr="003B172A" w:rsidRDefault="003B172A" w:rsidP="00671288">
      <w:pPr>
        <w:tabs>
          <w:tab w:val="left" w:pos="1450"/>
        </w:tabs>
        <w:rPr>
          <w:rFonts w:ascii="Times New Roman" w:hAnsi="Times New Roman" w:cs="Times New Roman"/>
          <w:sz w:val="24"/>
          <w:szCs w:val="24"/>
        </w:rPr>
      </w:pPr>
    </w:p>
    <w:sectPr w:rsidR="003B172A" w:rsidRPr="003B172A" w:rsidSect="00D75A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C3424"/>
    <w:multiLevelType w:val="hybridMultilevel"/>
    <w:tmpl w:val="0E367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911C7"/>
    <w:multiLevelType w:val="hybridMultilevel"/>
    <w:tmpl w:val="E1B2FB0C"/>
    <w:lvl w:ilvl="0" w:tplc="A96644DA">
      <w:start w:val="1"/>
      <w:numFmt w:val="decimal"/>
      <w:pStyle w:val="Headingfav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724C2"/>
    <w:multiLevelType w:val="multilevel"/>
    <w:tmpl w:val="C242E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8767777">
    <w:abstractNumId w:val="1"/>
  </w:num>
  <w:num w:numId="2" w16cid:durableId="1138375079">
    <w:abstractNumId w:val="0"/>
  </w:num>
  <w:num w:numId="3" w16cid:durableId="458568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30"/>
    <w:rsid w:val="000D23A9"/>
    <w:rsid w:val="000E6549"/>
    <w:rsid w:val="00100762"/>
    <w:rsid w:val="00186536"/>
    <w:rsid w:val="00197A37"/>
    <w:rsid w:val="00234370"/>
    <w:rsid w:val="00237658"/>
    <w:rsid w:val="00276656"/>
    <w:rsid w:val="002F718C"/>
    <w:rsid w:val="003345BF"/>
    <w:rsid w:val="003772F6"/>
    <w:rsid w:val="003B172A"/>
    <w:rsid w:val="003F6189"/>
    <w:rsid w:val="00480970"/>
    <w:rsid w:val="004C3500"/>
    <w:rsid w:val="004D7B53"/>
    <w:rsid w:val="005008ED"/>
    <w:rsid w:val="00567A1A"/>
    <w:rsid w:val="005A78E5"/>
    <w:rsid w:val="00613D8D"/>
    <w:rsid w:val="006150A0"/>
    <w:rsid w:val="00622FDD"/>
    <w:rsid w:val="00671288"/>
    <w:rsid w:val="006974DB"/>
    <w:rsid w:val="006C77DC"/>
    <w:rsid w:val="006D011D"/>
    <w:rsid w:val="008320B5"/>
    <w:rsid w:val="009D3D50"/>
    <w:rsid w:val="00A3486F"/>
    <w:rsid w:val="00A65D9E"/>
    <w:rsid w:val="00A964E2"/>
    <w:rsid w:val="00B10415"/>
    <w:rsid w:val="00B73F9F"/>
    <w:rsid w:val="00BB1857"/>
    <w:rsid w:val="00C54E76"/>
    <w:rsid w:val="00C96CEC"/>
    <w:rsid w:val="00CE085E"/>
    <w:rsid w:val="00CE740C"/>
    <w:rsid w:val="00D3234E"/>
    <w:rsid w:val="00D75ACE"/>
    <w:rsid w:val="00D96D30"/>
    <w:rsid w:val="00DB55CD"/>
    <w:rsid w:val="00DF314E"/>
    <w:rsid w:val="00E10B64"/>
    <w:rsid w:val="00E10E87"/>
    <w:rsid w:val="00E20EF2"/>
    <w:rsid w:val="00EA0201"/>
    <w:rsid w:val="00F25426"/>
    <w:rsid w:val="00F31D30"/>
    <w:rsid w:val="00F37EF0"/>
    <w:rsid w:val="00FB7DA5"/>
    <w:rsid w:val="00FC7318"/>
    <w:rsid w:val="00FD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E4F8"/>
  <w15:chartTrackingRefBased/>
  <w15:docId w15:val="{9B7B2759-34AE-4E03-8598-AAFC8EB5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D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D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fav">
    <w:name w:val="Heading (fav.)"/>
    <w:basedOn w:val="ListParagraph"/>
    <w:link w:val="HeadingfavChar"/>
    <w:autoRedefine/>
    <w:qFormat/>
    <w:rsid w:val="003F6189"/>
    <w:pPr>
      <w:keepNext/>
      <w:keepLines/>
      <w:numPr>
        <w:numId w:val="1"/>
      </w:numPr>
      <w:spacing w:after="120"/>
      <w:ind w:left="426" w:hanging="426"/>
      <w:outlineLvl w:val="0"/>
    </w:pPr>
    <w:rPr>
      <w:rFonts w:ascii="Arial" w:eastAsia="PMingLiU" w:hAnsi="Arial" w:cs="Times New Roman"/>
      <w:b/>
      <w:color w:val="000000"/>
      <w:kern w:val="0"/>
      <w:sz w:val="28"/>
      <w:szCs w:val="32"/>
      <w:lang w:eastAsia="zh-TW"/>
      <w14:ligatures w14:val="none"/>
    </w:rPr>
  </w:style>
  <w:style w:type="character" w:customStyle="1" w:styleId="HeadingfavChar">
    <w:name w:val="Heading (fav.) Char"/>
    <w:basedOn w:val="DefaultParagraphFont"/>
    <w:link w:val="Headingfav"/>
    <w:rsid w:val="003F6189"/>
    <w:rPr>
      <w:rFonts w:ascii="Arial" w:eastAsia="PMingLiU" w:hAnsi="Arial" w:cs="Times New Roman"/>
      <w:b/>
      <w:color w:val="000000"/>
      <w:kern w:val="0"/>
      <w:sz w:val="28"/>
      <w:szCs w:val="32"/>
      <w:lang w:eastAsia="zh-TW"/>
      <w14:ligatures w14:val="none"/>
    </w:rPr>
  </w:style>
  <w:style w:type="paragraph" w:styleId="ListParagraph">
    <w:name w:val="List Paragraph"/>
    <w:basedOn w:val="Normal"/>
    <w:uiPriority w:val="34"/>
    <w:qFormat/>
    <w:rsid w:val="003F618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1D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D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D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D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D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D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D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D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D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D3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31D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D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D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D30"/>
    <w:rPr>
      <w:b/>
      <w:bCs/>
      <w:smallCaps/>
      <w:color w:val="2F5496" w:themeColor="accent1" w:themeShade="BF"/>
      <w:spacing w:val="5"/>
    </w:rPr>
  </w:style>
  <w:style w:type="paragraph" w:customStyle="1" w:styleId="xmsonormal">
    <w:name w:val="x_msonormal"/>
    <w:basedOn w:val="Normal"/>
    <w:rsid w:val="00FB7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msolistparagraph">
    <w:name w:val="x_msolistparagraph"/>
    <w:basedOn w:val="Normal"/>
    <w:rsid w:val="00FB7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10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4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4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4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04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Tiebel</dc:creator>
  <cp:keywords/>
  <dc:description/>
  <cp:lastModifiedBy>Johanna Tiebel</cp:lastModifiedBy>
  <cp:revision>15</cp:revision>
  <dcterms:created xsi:type="dcterms:W3CDTF">2024-04-28T08:46:00Z</dcterms:created>
  <dcterms:modified xsi:type="dcterms:W3CDTF">2024-04-30T20:30:00Z</dcterms:modified>
</cp:coreProperties>
</file>