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A09E1" w14:textId="4B18D8F3" w:rsidR="00F8254E" w:rsidRPr="003E7605" w:rsidRDefault="00C42ED0" w:rsidP="0017694E">
      <w:pPr>
        <w:spacing w:line="276" w:lineRule="auto"/>
        <w:jc w:val="left"/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</w:pPr>
      <w:r w:rsidRPr="003E7605"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  <w:t xml:space="preserve">Hypoxia signaling and histone deacetylases govern </w:t>
      </w:r>
      <w:r w:rsidR="003C599F"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  <w:t xml:space="preserve">developmental stage-specific </w:t>
      </w:r>
      <w:r w:rsidRPr="003E7605"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  <w:t xml:space="preserve">erythropoietin production </w:t>
      </w:r>
      <w:r w:rsidR="003C599F"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  <w:t xml:space="preserve">in </w:t>
      </w:r>
      <w:r w:rsidRPr="003E7605"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  <w:t>em</w:t>
      </w:r>
      <w:r w:rsidR="00F8254E" w:rsidRPr="003E7605"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  <w:t xml:space="preserve">bryonic neural </w:t>
      </w:r>
      <w:proofErr w:type="gramStart"/>
      <w:r w:rsidR="00F8254E" w:rsidRPr="003E7605"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  <w:t>cells</w:t>
      </w:r>
      <w:proofErr w:type="gramEnd"/>
    </w:p>
    <w:p w14:paraId="0C09F753" w14:textId="77777777" w:rsidR="00F8254E" w:rsidRPr="003E7605" w:rsidRDefault="00F8254E" w:rsidP="0017694E">
      <w:pPr>
        <w:spacing w:line="276" w:lineRule="auto"/>
        <w:jc w:val="left"/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</w:pPr>
    </w:p>
    <w:p w14:paraId="396771B1" w14:textId="2BDBA089" w:rsidR="00A15671" w:rsidRPr="003E7605" w:rsidRDefault="00A15671" w:rsidP="0017694E">
      <w:pPr>
        <w:spacing w:line="276" w:lineRule="auto"/>
        <w:jc w:val="left"/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</w:pPr>
      <w:r w:rsidRPr="003E7605">
        <w:rPr>
          <w:rFonts w:ascii="Arial" w:eastAsia="ヒラギノ明朝 Pro W3" w:hAnsi="Arial" w:cs="Arial"/>
          <w:b/>
          <w:i/>
          <w:iCs/>
          <w:color w:val="000000" w:themeColor="text1"/>
          <w:sz w:val="22"/>
          <w:szCs w:val="22"/>
          <w:u w:val="single"/>
          <w:lang w:val="en-GB"/>
        </w:rPr>
        <w:t>Yuma Iwamura</w:t>
      </w:r>
      <w:r w:rsidRPr="003E7605">
        <w:rPr>
          <w:rFonts w:ascii="Arial" w:eastAsia="ヒラギノ明朝 Pro W3" w:hAnsi="Arial" w:cs="Arial"/>
          <w:b/>
          <w:i/>
          <w:iCs/>
          <w:color w:val="000000" w:themeColor="text1"/>
          <w:sz w:val="22"/>
          <w:szCs w:val="22"/>
          <w:u w:val="single"/>
          <w:vertAlign w:val="superscript"/>
          <w:lang w:val="en-GB"/>
        </w:rPr>
        <w:t>1,2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>, Taku Nakai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vertAlign w:val="superscript"/>
          <w:lang w:val="en-GB"/>
        </w:rPr>
        <w:t>1,2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>, Koichiro Kato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vertAlign w:val="superscript"/>
          <w:lang w:val="en-GB"/>
        </w:rPr>
        <w:t>1,2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>Hirotaka</w:t>
      </w:r>
      <w:proofErr w:type="spellEnd"/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 Ishioka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vertAlign w:val="superscript"/>
          <w:lang w:val="en-GB"/>
        </w:rPr>
        <w:t>1,2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>, Masayuki Yamamoto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vertAlign w:val="superscript"/>
          <w:lang w:val="en-GB"/>
        </w:rPr>
        <w:t>3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>Ikuo</w:t>
      </w:r>
      <w:proofErr w:type="spellEnd"/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 Hirano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vertAlign w:val="superscript"/>
          <w:lang w:val="en-GB"/>
        </w:rPr>
        <w:t>4</w:t>
      </w:r>
      <w:r w:rsidR="002C1FDE"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>,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 xml:space="preserve"> Norio Suzuki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vertAlign w:val="superscript"/>
          <w:lang w:val="en-GB"/>
        </w:rPr>
        <w:t>1,</w:t>
      </w:r>
      <w:proofErr w:type="gramStart"/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vertAlign w:val="superscript"/>
          <w:lang w:val="en-GB"/>
        </w:rPr>
        <w:t>2,</w:t>
      </w:r>
      <w:r w:rsidRPr="003E7605">
        <w:rPr>
          <w:rFonts w:ascii="Arial" w:eastAsia="ヒラギノ明朝 Pro W3" w:hAnsi="Arial" w:cs="Arial"/>
          <w:bCs/>
          <w:i/>
          <w:iCs/>
          <w:color w:val="000000" w:themeColor="text1"/>
          <w:sz w:val="22"/>
          <w:szCs w:val="22"/>
          <w:lang w:val="en-GB"/>
        </w:rPr>
        <w:t>*</w:t>
      </w:r>
      <w:proofErr w:type="gramEnd"/>
    </w:p>
    <w:p w14:paraId="50817754" w14:textId="77777777" w:rsidR="00A15671" w:rsidRPr="003E7605" w:rsidRDefault="00A15671" w:rsidP="0017694E">
      <w:pPr>
        <w:spacing w:line="276" w:lineRule="auto"/>
        <w:jc w:val="left"/>
        <w:rPr>
          <w:rFonts w:ascii="Arial" w:eastAsia="ヒラギノ明朝 Pro W3" w:hAnsi="Arial" w:cs="Arial"/>
          <w:b/>
          <w:bCs/>
          <w:color w:val="000000" w:themeColor="text1"/>
          <w:sz w:val="22"/>
          <w:szCs w:val="22"/>
          <w:lang w:val="en-GB"/>
        </w:rPr>
      </w:pPr>
    </w:p>
    <w:p w14:paraId="563FE5E2" w14:textId="77777777" w:rsidR="002C1FDE" w:rsidRPr="003E7605" w:rsidRDefault="00A15671" w:rsidP="0017694E">
      <w:pPr>
        <w:spacing w:line="276" w:lineRule="auto"/>
        <w:jc w:val="left"/>
        <w:rPr>
          <w:rFonts w:ascii="Arial" w:eastAsia="ヒラギノ明朝 Pro W3" w:hAnsi="Arial" w:cs="Arial"/>
          <w:bCs/>
          <w:color w:val="000000" w:themeColor="text1"/>
          <w:sz w:val="22"/>
          <w:szCs w:val="22"/>
        </w:rPr>
      </w:pP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vertAlign w:val="superscript"/>
        </w:rPr>
        <w:t>1</w:t>
      </w: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</w:rPr>
        <w:t xml:space="preserve"> Applied Oxygen Physiology Project, New Industry Creation Hatchery Center, Tohoku University, </w:t>
      </w:r>
      <w:proofErr w:type="spellStart"/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</w:rPr>
        <w:t>Seiryo</w:t>
      </w:r>
      <w:proofErr w:type="spellEnd"/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</w:rPr>
        <w:t>-machi 2-1, Aoba-</w:t>
      </w:r>
      <w:proofErr w:type="spellStart"/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</w:rPr>
        <w:t>ku</w:t>
      </w:r>
      <w:proofErr w:type="spellEnd"/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</w:rPr>
        <w:t xml:space="preserve">, Sendai, Miyagi 980-8575, Japan, </w:t>
      </w:r>
    </w:p>
    <w:p w14:paraId="7EE2376F" w14:textId="77777777" w:rsidR="002C1FDE" w:rsidRPr="003E7605" w:rsidRDefault="00A15671" w:rsidP="0017694E">
      <w:pPr>
        <w:spacing w:line="276" w:lineRule="auto"/>
        <w:jc w:val="left"/>
        <w:rPr>
          <w:rFonts w:ascii="Arial" w:eastAsia="ヒラギノ明朝 Pro W3" w:hAnsi="Arial" w:cs="Arial"/>
          <w:bCs/>
          <w:color w:val="000000" w:themeColor="text1"/>
          <w:sz w:val="22"/>
          <w:szCs w:val="22"/>
          <w:lang w:val="en-GB"/>
        </w:rPr>
      </w:pP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vertAlign w:val="superscript"/>
          <w:lang w:val="en-GB"/>
        </w:rPr>
        <w:t>2</w:t>
      </w: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</w:rPr>
        <w:t xml:space="preserve"> </w:t>
      </w: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lang w:val="en-GB"/>
        </w:rPr>
        <w:t xml:space="preserve">Division of Oxygen Biology, Tohoku University Graduate School of Medicine, </w:t>
      </w:r>
    </w:p>
    <w:p w14:paraId="0382B451" w14:textId="77777777" w:rsidR="002C1FDE" w:rsidRPr="003E7605" w:rsidRDefault="00A15671" w:rsidP="0017694E">
      <w:pPr>
        <w:spacing w:line="276" w:lineRule="auto"/>
        <w:jc w:val="left"/>
        <w:rPr>
          <w:rFonts w:ascii="Arial" w:eastAsia="ヒラギノ明朝 Pro W3" w:hAnsi="Arial" w:cs="Arial"/>
          <w:bCs/>
          <w:color w:val="000000" w:themeColor="text1"/>
          <w:sz w:val="22"/>
          <w:szCs w:val="22"/>
          <w:lang w:val="en-GB"/>
        </w:rPr>
      </w:pP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vertAlign w:val="superscript"/>
          <w:lang w:val="en-GB"/>
        </w:rPr>
        <w:t xml:space="preserve">3 </w:t>
      </w: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lang w:val="en-GB"/>
        </w:rPr>
        <w:t xml:space="preserve">Tohoku Medical Megabank Organization, Tohoku University, </w:t>
      </w:r>
    </w:p>
    <w:p w14:paraId="2A5A8EF1" w14:textId="47758BD8" w:rsidR="00F8254E" w:rsidRPr="003E7605" w:rsidRDefault="00A15671" w:rsidP="0017694E">
      <w:pPr>
        <w:spacing w:line="276" w:lineRule="auto"/>
        <w:jc w:val="left"/>
        <w:rPr>
          <w:rFonts w:ascii="Arial" w:eastAsia="ヒラギノ明朝 Pro W3" w:hAnsi="Arial" w:cs="Arial"/>
          <w:b/>
          <w:bCs/>
          <w:color w:val="000000" w:themeColor="text1"/>
          <w:sz w:val="22"/>
          <w:szCs w:val="22"/>
          <w:lang w:val="en-GB"/>
        </w:rPr>
      </w:pP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vertAlign w:val="superscript"/>
          <w:lang w:val="en-GB"/>
        </w:rPr>
        <w:t>4</w:t>
      </w: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</w:rPr>
        <w:t xml:space="preserve"> </w:t>
      </w: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lang w:val="en-GB"/>
        </w:rPr>
        <w:t xml:space="preserve">Department of Molecular </w:t>
      </w:r>
      <w:proofErr w:type="spellStart"/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lang w:val="en-GB"/>
        </w:rPr>
        <w:t>Hematology</w:t>
      </w:r>
      <w:proofErr w:type="spellEnd"/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lang w:val="en-GB"/>
        </w:rPr>
        <w:t>,</w:t>
      </w:r>
      <w:r w:rsidRPr="003E7605">
        <w:rPr>
          <w:rFonts w:ascii="Arial" w:eastAsia="ヒラギノ明朝 Pro W3" w:hAnsi="Arial" w:cs="Arial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003E7605">
        <w:rPr>
          <w:rFonts w:ascii="Arial" w:eastAsia="ヒラギノ明朝 Pro W3" w:hAnsi="Arial" w:cs="Arial"/>
          <w:bCs/>
          <w:color w:val="000000" w:themeColor="text1"/>
          <w:sz w:val="22"/>
          <w:szCs w:val="22"/>
          <w:lang w:val="en-GB"/>
        </w:rPr>
        <w:t>Tohoku University Graduate School of Medicine</w:t>
      </w:r>
    </w:p>
    <w:p w14:paraId="3A1FFAAF" w14:textId="77777777" w:rsidR="00A15671" w:rsidRPr="003E7605" w:rsidRDefault="00A15671" w:rsidP="0017694E">
      <w:pPr>
        <w:spacing w:line="276" w:lineRule="auto"/>
        <w:jc w:val="left"/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</w:pPr>
    </w:p>
    <w:p w14:paraId="5E31620D" w14:textId="19A71EBE" w:rsidR="00F8254E" w:rsidRPr="003E7605" w:rsidRDefault="00550B00" w:rsidP="0017694E">
      <w:pPr>
        <w:spacing w:line="276" w:lineRule="auto"/>
        <w:jc w:val="left"/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</w:pPr>
      <w:r w:rsidRPr="003E7605">
        <w:rPr>
          <w:rFonts w:ascii="Arial" w:eastAsia="ヒラギノ明朝 Pro W3" w:hAnsi="Arial" w:cs="Arial"/>
          <w:b/>
          <w:color w:val="000000" w:themeColor="text1"/>
          <w:sz w:val="22"/>
          <w:szCs w:val="22"/>
        </w:rPr>
        <w:t>Abstract:</w:t>
      </w:r>
    </w:p>
    <w:p w14:paraId="3864F51D" w14:textId="77DCDB67" w:rsidR="00C053E5" w:rsidRPr="00AC1093" w:rsidRDefault="00E93809" w:rsidP="00AC1093">
      <w:pPr>
        <w:spacing w:line="276" w:lineRule="auto"/>
        <w:jc w:val="left"/>
        <w:rPr>
          <w:rFonts w:ascii="Arial" w:eastAsia="Times New Roman" w:hAnsi="Arial" w:cs="Arial"/>
          <w:color w:val="0D0D0D"/>
          <w:sz w:val="22"/>
          <w:szCs w:val="22"/>
        </w:rPr>
      </w:pPr>
      <w:r w:rsidRPr="003E7605">
        <w:rPr>
          <w:rFonts w:ascii="Arial" w:eastAsia="Times New Roman" w:hAnsi="Arial" w:cs="Arial"/>
          <w:color w:val="0D0D0D"/>
          <w:sz w:val="22"/>
          <w:szCs w:val="22"/>
        </w:rPr>
        <w:t>Erythropoietin (EPO)</w:t>
      </w:r>
      <w:r w:rsidR="00285D32">
        <w:rPr>
          <w:rFonts w:ascii="Arial" w:eastAsia="Times New Roman" w:hAnsi="Arial" w:cs="Arial"/>
          <w:color w:val="0D0D0D"/>
          <w:sz w:val="22"/>
          <w:szCs w:val="22"/>
        </w:rPr>
        <w:t xml:space="preserve">, 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an essential growth factor </w:t>
      </w:r>
      <w:r w:rsidR="00DE448C">
        <w:rPr>
          <w:rFonts w:ascii="Arial" w:eastAsia="Times New Roman" w:hAnsi="Arial" w:cs="Arial"/>
          <w:color w:val="0D0D0D"/>
          <w:sz w:val="22"/>
          <w:szCs w:val="22"/>
        </w:rPr>
        <w:t>for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 primitive and definitive erythropoiesis</w:t>
      </w:r>
      <w:r w:rsidR="00285D32">
        <w:rPr>
          <w:rFonts w:ascii="Arial" w:eastAsia="Times New Roman" w:hAnsi="Arial" w:cs="Arial"/>
          <w:color w:val="0D0D0D"/>
          <w:sz w:val="22"/>
          <w:szCs w:val="22"/>
        </w:rPr>
        <w:t xml:space="preserve">, 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>is mainly produced by the fetal liver and the adult kidney. In addition, we previously discovered that neural EPO-producing (NEP) cells, a subpopulation of neuroepithelial and neural crest cells, secrete EPO to promote primitive erythropoiesis in the yolk sac. Hepatic and renal EPO production is controlled by the hypoxia-inducible factor (HIF) 2</w:t>
      </w:r>
      <w:r w:rsidR="00E90871" w:rsidRPr="008D4AB4">
        <w:rPr>
          <w:rFonts w:ascii="Arial" w:eastAsia="Times New Roman" w:hAnsi="Arial" w:cs="Arial"/>
          <w:color w:val="0D0D0D"/>
          <w:sz w:val="22"/>
          <w:szCs w:val="22"/>
        </w:rPr>
        <w:t>α</w:t>
      </w:r>
      <w:r w:rsidR="00E90871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>in response to hypoxia. However, the mechanism of EPO production in NEP cells is still not understood.</w:t>
      </w:r>
      <w:r w:rsidR="00067581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="00EA3E17" w:rsidRPr="003E7605">
        <w:rPr>
          <w:rFonts w:ascii="Arial" w:eastAsia="Times New Roman" w:hAnsi="Arial" w:cs="Arial"/>
          <w:color w:val="0D0D0D"/>
          <w:sz w:val="22"/>
          <w:szCs w:val="22"/>
        </w:rPr>
        <w:t>In this study,</w:t>
      </w:r>
      <w:r w:rsidR="00FA2664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we </w:t>
      </w:r>
      <w:r w:rsidR="008D4AB4" w:rsidRPr="003E7605">
        <w:rPr>
          <w:rFonts w:ascii="Arial" w:eastAsia="Times New Roman" w:hAnsi="Arial" w:cs="Arial"/>
          <w:color w:val="0D0D0D"/>
          <w:sz w:val="22"/>
          <w:szCs w:val="22"/>
        </w:rPr>
        <w:t>confirm</w:t>
      </w:r>
      <w:r w:rsidR="008D4AB4">
        <w:rPr>
          <w:rFonts w:ascii="Arial" w:eastAsia="Times New Roman" w:hAnsi="Arial" w:cs="Arial"/>
          <w:color w:val="0D0D0D"/>
          <w:sz w:val="22"/>
          <w:szCs w:val="22"/>
        </w:rPr>
        <w:t>ed</w:t>
      </w:r>
      <w:r w:rsidR="008D4AB4" w:rsidRPr="008D4AB4">
        <w:rPr>
          <w:rFonts w:ascii="Arial" w:eastAsia="Times New Roman" w:hAnsi="Arial" w:cs="Arial"/>
          <w:color w:val="0D0D0D"/>
          <w:sz w:val="22"/>
          <w:szCs w:val="22"/>
        </w:rPr>
        <w:t xml:space="preserve"> the presence of </w:t>
      </w:r>
      <w:r w:rsidR="0079344E">
        <w:rPr>
          <w:rFonts w:ascii="Arial" w:eastAsia="Times New Roman" w:hAnsi="Arial" w:cs="Arial"/>
          <w:color w:val="0D0D0D"/>
          <w:sz w:val="22"/>
          <w:szCs w:val="22"/>
        </w:rPr>
        <w:t xml:space="preserve">NEP </w:t>
      </w:r>
      <w:r w:rsidR="008D4AB4" w:rsidRPr="008D4AB4">
        <w:rPr>
          <w:rFonts w:ascii="Arial" w:eastAsia="Times New Roman" w:hAnsi="Arial" w:cs="Arial"/>
          <w:color w:val="0D0D0D"/>
          <w:sz w:val="22"/>
          <w:szCs w:val="22"/>
        </w:rPr>
        <w:t xml:space="preserve">cells </w:t>
      </w:r>
      <w:proofErr w:type="spellStart"/>
      <w:r w:rsidR="008D4AB4" w:rsidRPr="008D4AB4">
        <w:rPr>
          <w:rFonts w:ascii="Arial" w:eastAsia="Times New Roman" w:hAnsi="Arial" w:cs="Arial"/>
          <w:color w:val="0D0D0D"/>
          <w:sz w:val="22"/>
          <w:szCs w:val="22"/>
        </w:rPr>
        <w:t>coexpressing</w:t>
      </w:r>
      <w:proofErr w:type="spellEnd"/>
      <w:r w:rsidR="008D4AB4" w:rsidRPr="008D4AB4">
        <w:rPr>
          <w:rFonts w:ascii="Arial" w:eastAsia="Times New Roman" w:hAnsi="Arial" w:cs="Arial"/>
          <w:color w:val="0D0D0D"/>
          <w:sz w:val="22"/>
          <w:szCs w:val="22"/>
        </w:rPr>
        <w:t xml:space="preserve"> the genes encoding EPO and HIF2α in </w:t>
      </w:r>
      <w:r w:rsidR="0079344E"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the embryonic neural tissues </w:t>
      </w:r>
      <w:r w:rsidR="0079344E" w:rsidRPr="00FA2664">
        <w:rPr>
          <w:rFonts w:ascii="Arial" w:eastAsia="Times New Roman" w:hAnsi="Arial" w:cs="Arial"/>
          <w:color w:val="0D0D0D"/>
          <w:sz w:val="22"/>
          <w:szCs w:val="22"/>
        </w:rPr>
        <w:t>between embryonic day (E) 8.5 and E11.5</w:t>
      </w:r>
      <w:r w:rsidR="0079344E" w:rsidRPr="008D4AB4">
        <w:rPr>
          <w:rFonts w:ascii="Arial" w:eastAsia="Times New Roman" w:hAnsi="Arial" w:cs="Arial"/>
          <w:color w:val="0D0D0D"/>
          <w:sz w:val="22"/>
          <w:szCs w:val="22"/>
        </w:rPr>
        <w:t>, where the hypoxic microenvironment activates HIF1α.</w:t>
      </w:r>
      <w:r w:rsidR="00C6517A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A HIF-activating compound enhanced </w:t>
      </w:r>
      <w:r w:rsidR="00952334" w:rsidRPr="00952334">
        <w:rPr>
          <w:rFonts w:ascii="Arial" w:eastAsia="Times New Roman" w:hAnsi="Arial" w:cs="Arial"/>
          <w:i/>
          <w:color w:val="0D0D0D"/>
          <w:sz w:val="22"/>
          <w:szCs w:val="22"/>
        </w:rPr>
        <w:t>EPO</w:t>
      </w:r>
      <w:r w:rsidR="00952334"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expression in human neural progenitors and mouse embryonic neural tissues incubated </w:t>
      </w:r>
      <w:r w:rsidRPr="00AD2D2F">
        <w:rPr>
          <w:rFonts w:ascii="Arial" w:eastAsia="Times New Roman" w:hAnsi="Arial" w:cs="Arial"/>
          <w:i/>
          <w:color w:val="0D0D0D"/>
          <w:sz w:val="22"/>
          <w:szCs w:val="22"/>
        </w:rPr>
        <w:t>in vitr</w:t>
      </w:r>
      <w:r w:rsidR="00C6517A" w:rsidRPr="00AD2D2F">
        <w:rPr>
          <w:rFonts w:ascii="Arial" w:eastAsia="Times New Roman" w:hAnsi="Arial" w:cs="Arial"/>
          <w:i/>
          <w:color w:val="0D0D0D"/>
          <w:sz w:val="22"/>
          <w:szCs w:val="22"/>
        </w:rPr>
        <w:t>o</w:t>
      </w:r>
      <w:r w:rsidR="00C6517A">
        <w:rPr>
          <w:rFonts w:ascii="Arial" w:eastAsia="Times New Roman" w:hAnsi="Arial" w:cs="Arial"/>
          <w:color w:val="0D0D0D"/>
          <w:sz w:val="22"/>
          <w:szCs w:val="22"/>
        </w:rPr>
        <w:t xml:space="preserve">, and this 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induction was blocked by </w:t>
      </w:r>
      <w:r w:rsidR="00C6517A">
        <w:rPr>
          <w:rFonts w:ascii="Arial" w:eastAsia="Times New Roman" w:hAnsi="Arial" w:cs="Arial"/>
          <w:color w:val="0D0D0D"/>
          <w:sz w:val="22"/>
          <w:szCs w:val="22"/>
        </w:rPr>
        <w:t xml:space="preserve">inhibiting </w:t>
      </w:r>
      <w:r w:rsidRPr="003E7605">
        <w:rPr>
          <w:rFonts w:ascii="Arial" w:eastAsia="Times New Roman" w:hAnsi="Arial" w:cs="Arial"/>
          <w:color w:val="0D0D0D"/>
          <w:sz w:val="22"/>
          <w:szCs w:val="22"/>
        </w:rPr>
        <w:t>HIF</w:t>
      </w:r>
      <w:r w:rsidR="00C6517A">
        <w:rPr>
          <w:rFonts w:ascii="Arial" w:eastAsia="Times New Roman" w:hAnsi="Arial" w:cs="Arial"/>
          <w:color w:val="0D0D0D"/>
          <w:sz w:val="22"/>
          <w:szCs w:val="22"/>
        </w:rPr>
        <w:t xml:space="preserve">s. 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>Additionally, a cell line</w:t>
      </w:r>
      <w:r w:rsidR="00781FC7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>of NEP cell derivatives that no longer expressed the</w:t>
      </w:r>
      <w:r w:rsidR="00781FC7" w:rsidRPr="00781FC7">
        <w:rPr>
          <w:rFonts w:ascii="Arial" w:eastAsia="Times New Roman" w:hAnsi="Arial" w:cs="Arial"/>
          <w:i/>
          <w:color w:val="0D0D0D"/>
          <w:sz w:val="22"/>
          <w:szCs w:val="22"/>
        </w:rPr>
        <w:t xml:space="preserve"> Epo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 xml:space="preserve"> gene demonstrated that histone</w:t>
      </w:r>
      <w:r w:rsidR="00077AAD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>deacetylase inhibitors (HDACIs) reactivate EPO production while rejuvenating the cells.</w:t>
      </w:r>
      <w:r w:rsidR="00077AAD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>HDACIs also induced</w:t>
      </w:r>
      <w:r w:rsidR="00781FC7" w:rsidRPr="003C599F">
        <w:rPr>
          <w:rFonts w:ascii="Arial" w:eastAsia="Times New Roman" w:hAnsi="Arial" w:cs="Arial"/>
          <w:i/>
          <w:color w:val="0D0D0D"/>
          <w:sz w:val="22"/>
          <w:szCs w:val="22"/>
        </w:rPr>
        <w:t xml:space="preserve"> EPO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 xml:space="preserve"> gene expression in SK-N-BE(2)c human neuroblastoma cells</w:t>
      </w:r>
      <w:r w:rsidR="00077AAD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>and mouse pr</w:t>
      </w:r>
      <w:r w:rsidR="003C599F">
        <w:rPr>
          <w:rFonts w:ascii="Arial" w:eastAsia="Times New Roman" w:hAnsi="Arial" w:cs="Arial"/>
          <w:color w:val="0D0D0D"/>
          <w:sz w:val="22"/>
          <w:szCs w:val="22"/>
        </w:rPr>
        <w:t xml:space="preserve">imary neural crest cells. </w:t>
      </w:r>
      <w:r w:rsidR="003C599F" w:rsidRPr="003E7605">
        <w:rPr>
          <w:rFonts w:ascii="Arial" w:eastAsia="Times New Roman" w:hAnsi="Arial" w:cs="Arial"/>
          <w:color w:val="0D0D0D"/>
          <w:sz w:val="22"/>
          <w:szCs w:val="22"/>
        </w:rPr>
        <w:t xml:space="preserve">In conclusion, 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>EPO production is controlled by epigenetic</w:t>
      </w:r>
      <w:r w:rsidR="00077AAD">
        <w:rPr>
          <w:rFonts w:ascii="Arial" w:eastAsia="Times New Roman" w:hAnsi="Arial" w:cs="Arial"/>
          <w:color w:val="0D0D0D"/>
          <w:sz w:val="22"/>
          <w:szCs w:val="22"/>
        </w:rPr>
        <w:t xml:space="preserve"> </w:t>
      </w:r>
      <w:r w:rsidR="00781FC7" w:rsidRPr="00781FC7">
        <w:rPr>
          <w:rFonts w:ascii="Arial" w:eastAsia="Times New Roman" w:hAnsi="Arial" w:cs="Arial"/>
          <w:color w:val="0D0D0D"/>
          <w:sz w:val="22"/>
          <w:szCs w:val="22"/>
        </w:rPr>
        <w:t>mechanisms and hypoxia signaling in an immature state of hypoxic NEP cells.</w:t>
      </w:r>
    </w:p>
    <w:sectPr w:rsidR="00C053E5" w:rsidRPr="00AC1093" w:rsidSect="0061369F">
      <w:pgSz w:w="11906" w:h="16838"/>
      <w:pgMar w:top="1440" w:right="1440" w:bottom="1440" w:left="1440" w:header="851" w:footer="992" w:gutter="0"/>
      <w:pgNumType w:start="1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明朝 Pro W3">
    <w:altName w:val="Yu Gothic"/>
    <w:panose1 w:val="02020300000000000000"/>
    <w:charset w:val="80"/>
    <w:family w:val="auto"/>
    <w:pitch w:val="variable"/>
    <w:sig w:usb0="E00002FF" w:usb1="7AC7FFFF" w:usb2="00000012" w:usb3="00000000" w:csb0="0002000D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7263A"/>
    <w:multiLevelType w:val="multilevel"/>
    <w:tmpl w:val="63F2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85882"/>
    <w:multiLevelType w:val="hybridMultilevel"/>
    <w:tmpl w:val="239A48D6"/>
    <w:lvl w:ilvl="0" w:tplc="AEEE5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5C10FC4"/>
    <w:multiLevelType w:val="multilevel"/>
    <w:tmpl w:val="EBE8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874832">
    <w:abstractNumId w:val="1"/>
  </w:num>
  <w:num w:numId="2" w16cid:durableId="550267733">
    <w:abstractNumId w:val="2"/>
  </w:num>
  <w:num w:numId="3" w16cid:durableId="1074156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BD4"/>
    <w:rsid w:val="00046879"/>
    <w:rsid w:val="00051F43"/>
    <w:rsid w:val="00055C99"/>
    <w:rsid w:val="0006057E"/>
    <w:rsid w:val="00067581"/>
    <w:rsid w:val="000714E4"/>
    <w:rsid w:val="000764B4"/>
    <w:rsid w:val="00077AAD"/>
    <w:rsid w:val="000A34AF"/>
    <w:rsid w:val="00107D93"/>
    <w:rsid w:val="001235EF"/>
    <w:rsid w:val="00146927"/>
    <w:rsid w:val="00154C9E"/>
    <w:rsid w:val="0017694E"/>
    <w:rsid w:val="00181BD4"/>
    <w:rsid w:val="001A6D3E"/>
    <w:rsid w:val="001B6BA6"/>
    <w:rsid w:val="001C6F2D"/>
    <w:rsid w:val="001E38C6"/>
    <w:rsid w:val="0024324E"/>
    <w:rsid w:val="00244161"/>
    <w:rsid w:val="00254D75"/>
    <w:rsid w:val="00285D32"/>
    <w:rsid w:val="00291F0F"/>
    <w:rsid w:val="002A5C7D"/>
    <w:rsid w:val="002A7732"/>
    <w:rsid w:val="002C1FDE"/>
    <w:rsid w:val="002E7514"/>
    <w:rsid w:val="00360BE0"/>
    <w:rsid w:val="003720E2"/>
    <w:rsid w:val="00384CFA"/>
    <w:rsid w:val="003864DD"/>
    <w:rsid w:val="0038690C"/>
    <w:rsid w:val="00387ACE"/>
    <w:rsid w:val="00396398"/>
    <w:rsid w:val="003963C9"/>
    <w:rsid w:val="003A469D"/>
    <w:rsid w:val="003B0B16"/>
    <w:rsid w:val="003C599F"/>
    <w:rsid w:val="003D5464"/>
    <w:rsid w:val="003E7605"/>
    <w:rsid w:val="00441478"/>
    <w:rsid w:val="004679B2"/>
    <w:rsid w:val="00470280"/>
    <w:rsid w:val="004A2F96"/>
    <w:rsid w:val="00504446"/>
    <w:rsid w:val="005305DE"/>
    <w:rsid w:val="00550B00"/>
    <w:rsid w:val="00590701"/>
    <w:rsid w:val="005A1F64"/>
    <w:rsid w:val="005F3DF2"/>
    <w:rsid w:val="006037ED"/>
    <w:rsid w:val="00612EA2"/>
    <w:rsid w:val="0061369F"/>
    <w:rsid w:val="00617703"/>
    <w:rsid w:val="00626A4F"/>
    <w:rsid w:val="00640AF6"/>
    <w:rsid w:val="00676E04"/>
    <w:rsid w:val="0069193F"/>
    <w:rsid w:val="006A3B93"/>
    <w:rsid w:val="006B6E71"/>
    <w:rsid w:val="006D4BC2"/>
    <w:rsid w:val="006F01ED"/>
    <w:rsid w:val="006F271E"/>
    <w:rsid w:val="00775EF7"/>
    <w:rsid w:val="00781FC7"/>
    <w:rsid w:val="00787FCF"/>
    <w:rsid w:val="0079344E"/>
    <w:rsid w:val="007B758E"/>
    <w:rsid w:val="007C4C64"/>
    <w:rsid w:val="0085773A"/>
    <w:rsid w:val="0088263F"/>
    <w:rsid w:val="008B02D5"/>
    <w:rsid w:val="008B135D"/>
    <w:rsid w:val="008D4AB4"/>
    <w:rsid w:val="009137D6"/>
    <w:rsid w:val="00913A5B"/>
    <w:rsid w:val="00951D39"/>
    <w:rsid w:val="00952334"/>
    <w:rsid w:val="00961846"/>
    <w:rsid w:val="00966B32"/>
    <w:rsid w:val="009B0FCE"/>
    <w:rsid w:val="009B2CB2"/>
    <w:rsid w:val="009C3ED8"/>
    <w:rsid w:val="009E3877"/>
    <w:rsid w:val="009E65D3"/>
    <w:rsid w:val="00A15671"/>
    <w:rsid w:val="00A3245C"/>
    <w:rsid w:val="00A54A75"/>
    <w:rsid w:val="00A821B3"/>
    <w:rsid w:val="00AB6838"/>
    <w:rsid w:val="00AC1093"/>
    <w:rsid w:val="00AC4D62"/>
    <w:rsid w:val="00AD2D2F"/>
    <w:rsid w:val="00AD3946"/>
    <w:rsid w:val="00AF7A3D"/>
    <w:rsid w:val="00B42DFA"/>
    <w:rsid w:val="00B54F83"/>
    <w:rsid w:val="00B60FDD"/>
    <w:rsid w:val="00B930A8"/>
    <w:rsid w:val="00BB5121"/>
    <w:rsid w:val="00BD0CE3"/>
    <w:rsid w:val="00C053E5"/>
    <w:rsid w:val="00C42ED0"/>
    <w:rsid w:val="00C6517A"/>
    <w:rsid w:val="00C91B2D"/>
    <w:rsid w:val="00D20FC8"/>
    <w:rsid w:val="00D56F6C"/>
    <w:rsid w:val="00D649F9"/>
    <w:rsid w:val="00DA14DE"/>
    <w:rsid w:val="00DA4C1D"/>
    <w:rsid w:val="00DE448C"/>
    <w:rsid w:val="00E37A10"/>
    <w:rsid w:val="00E40952"/>
    <w:rsid w:val="00E40DDC"/>
    <w:rsid w:val="00E90871"/>
    <w:rsid w:val="00E93809"/>
    <w:rsid w:val="00EA3E17"/>
    <w:rsid w:val="00EB3268"/>
    <w:rsid w:val="00EC60CA"/>
    <w:rsid w:val="00ED039F"/>
    <w:rsid w:val="00EE303C"/>
    <w:rsid w:val="00EF3D9E"/>
    <w:rsid w:val="00F53C57"/>
    <w:rsid w:val="00F54036"/>
    <w:rsid w:val="00F55339"/>
    <w:rsid w:val="00F8254E"/>
    <w:rsid w:val="00FA2664"/>
    <w:rsid w:val="00FE48AB"/>
    <w:rsid w:val="00FF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7AB3EA"/>
  <w15:docId w15:val="{F57EEFDA-574D-7144-9B5F-03AB82DC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Yu Mincho" w:eastAsia="Yu Mincho" w:hAnsi="Yu Mincho" w:cs="Yu Mincho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510BA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10BA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10BA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B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BA1"/>
    <w:rPr>
      <w:b/>
      <w:bCs/>
    </w:rPr>
  </w:style>
  <w:style w:type="character" w:customStyle="1" w:styleId="cf01">
    <w:name w:val="cf01"/>
    <w:basedOn w:val="DefaultParagraphFont"/>
    <w:rsid w:val="0064743C"/>
    <w:rPr>
      <w:rFonts w:ascii="Meiryo UI" w:eastAsia="Meiryo UI" w:hAnsi="Meiryo UI" w:hint="eastAsia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57E"/>
    <w:rPr>
      <w:rFonts w:ascii="MS Mincho" w:eastAsia="MS Minch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57E"/>
    <w:rPr>
      <w:rFonts w:ascii="MS Mincho" w:eastAsia="MS Mincho"/>
      <w:sz w:val="18"/>
      <w:szCs w:val="18"/>
    </w:rPr>
  </w:style>
  <w:style w:type="paragraph" w:styleId="Revision">
    <w:name w:val="Revision"/>
    <w:hidden/>
    <w:uiPriority w:val="99"/>
    <w:semiHidden/>
    <w:rsid w:val="00A3245C"/>
    <w:pPr>
      <w:widowControl/>
      <w:jc w:val="left"/>
    </w:pPr>
  </w:style>
  <w:style w:type="paragraph" w:styleId="ListParagraph">
    <w:name w:val="List Paragraph"/>
    <w:basedOn w:val="Normal"/>
    <w:uiPriority w:val="34"/>
    <w:qFormat/>
    <w:rsid w:val="0038690C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1E38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E3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ADkPebWo8FuW69N0lrobqr+6kQ==">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HARADA Hiroshi</dc:creator>
  <cp:lastModifiedBy>岩村　悠真</cp:lastModifiedBy>
  <cp:revision>3</cp:revision>
  <dcterms:created xsi:type="dcterms:W3CDTF">2024-04-02T09:16:00Z</dcterms:created>
  <dcterms:modified xsi:type="dcterms:W3CDTF">2024-04-02T09:17:00Z</dcterms:modified>
</cp:coreProperties>
</file>