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C9D" w:rsidRPr="00841C9D" w:rsidRDefault="00841C9D" w:rsidP="00841C9D">
      <w:pPr>
        <w:autoSpaceDE w:val="0"/>
        <w:autoSpaceDN w:val="0"/>
        <w:adjustRightInd w:val="0"/>
        <w:jc w:val="both"/>
        <w:rPr>
          <w:rFonts w:asciiTheme="minorBidi" w:hAnsiTheme="minorBidi"/>
          <w:color w:val="000000" w:themeColor="text1"/>
          <w:sz w:val="22"/>
          <w:szCs w:val="22"/>
        </w:rPr>
      </w:pPr>
      <w:r w:rsidRPr="00841C9D">
        <w:rPr>
          <w:rFonts w:asciiTheme="minorBidi" w:hAnsiTheme="minorBidi"/>
          <w:color w:val="000000" w:themeColor="text1"/>
          <w:sz w:val="22"/>
          <w:szCs w:val="22"/>
        </w:rPr>
        <w:t xml:space="preserve">Oxygen metabolism controls call fate specification and morphogenesis in 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>in vitro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mouse </w:t>
      </w:r>
      <w:r w:rsidR="00144EA6">
        <w:rPr>
          <w:rFonts w:asciiTheme="minorBidi" w:hAnsiTheme="minorBidi"/>
          <w:color w:val="000000" w:themeColor="text1"/>
          <w:sz w:val="22"/>
          <w:szCs w:val="22"/>
        </w:rPr>
        <w:t>embryo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models</w:t>
      </w:r>
    </w:p>
    <w:p w:rsidR="00841C9D" w:rsidRPr="00841C9D" w:rsidRDefault="00841C9D" w:rsidP="00841C9D">
      <w:pPr>
        <w:autoSpaceDE w:val="0"/>
        <w:autoSpaceDN w:val="0"/>
        <w:adjustRightInd w:val="0"/>
        <w:jc w:val="both"/>
        <w:rPr>
          <w:rFonts w:asciiTheme="minorBidi" w:hAnsiTheme="minorBidi"/>
          <w:color w:val="000000" w:themeColor="text1"/>
          <w:sz w:val="22"/>
          <w:szCs w:val="22"/>
        </w:rPr>
      </w:pPr>
    </w:p>
    <w:p w:rsidR="00841C9D" w:rsidRPr="00841C9D" w:rsidRDefault="00841C9D" w:rsidP="00841C9D">
      <w:pPr>
        <w:autoSpaceDE w:val="0"/>
        <w:autoSpaceDN w:val="0"/>
        <w:adjustRightInd w:val="0"/>
        <w:jc w:val="both"/>
        <w:rPr>
          <w:rFonts w:asciiTheme="minorBidi" w:hAnsiTheme="minorBidi"/>
          <w:i/>
          <w:iCs/>
          <w:color w:val="000000" w:themeColor="text1"/>
          <w:sz w:val="22"/>
          <w:szCs w:val="22"/>
        </w:rPr>
      </w:pP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u w:val="single"/>
        </w:rPr>
        <w:t xml:space="preserve">Alba </w:t>
      </w:r>
      <w:proofErr w:type="spellStart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u w:val="single"/>
        </w:rPr>
        <w:t>Villaronga</w:t>
      </w:r>
      <w:proofErr w:type="spellEnd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u w:val="single"/>
        </w:rPr>
        <w:t>Luque</w:t>
      </w:r>
      <w:proofErr w:type="spellEnd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 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vertAlign w:val="superscript"/>
        </w:rPr>
        <w:t>1,2,7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, Ryan G Savill 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vertAlign w:val="superscript"/>
        </w:rPr>
        <w:t>1,2,7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>, Natalia Lopez-</w:t>
      </w:r>
      <w:proofErr w:type="spellStart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>Anguita</w:t>
      </w:r>
      <w:proofErr w:type="spellEnd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 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vertAlign w:val="superscript"/>
        </w:rPr>
        <w:t>3, 8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, Adriano </w:t>
      </w:r>
      <w:proofErr w:type="spellStart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>Bolondi</w:t>
      </w:r>
      <w:proofErr w:type="spellEnd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 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vertAlign w:val="superscript"/>
        </w:rPr>
        <w:t>4,8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>Sumit</w:t>
      </w:r>
      <w:proofErr w:type="spellEnd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>Garai</w:t>
      </w:r>
      <w:proofErr w:type="spellEnd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 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vertAlign w:val="superscript"/>
        </w:rPr>
        <w:t>1,5,8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>Seher</w:t>
      </w:r>
      <w:proofErr w:type="spellEnd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>Ipek</w:t>
      </w:r>
      <w:proofErr w:type="spellEnd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>Gassaloglu</w:t>
      </w:r>
      <w:proofErr w:type="spellEnd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 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vertAlign w:val="superscript"/>
        </w:rPr>
        <w:t>1,3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, Aayush Poddar 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vertAlign w:val="superscript"/>
        </w:rPr>
        <w:t>1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, Aydan </w:t>
      </w:r>
      <w:proofErr w:type="spellStart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>Bulut-Karslioglu</w:t>
      </w:r>
      <w:proofErr w:type="spellEnd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 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vertAlign w:val="superscript"/>
        </w:rPr>
        <w:t>3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, Jesse V </w:t>
      </w:r>
      <w:proofErr w:type="spellStart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>Veenvliet</w:t>
      </w:r>
      <w:proofErr w:type="spellEnd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 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vertAlign w:val="superscript"/>
        </w:rPr>
        <w:t>1,5,6</w:t>
      </w:r>
    </w:p>
    <w:p w:rsidR="00841C9D" w:rsidRPr="00841C9D" w:rsidRDefault="00841C9D" w:rsidP="00841C9D">
      <w:pPr>
        <w:autoSpaceDE w:val="0"/>
        <w:autoSpaceDN w:val="0"/>
        <w:adjustRightInd w:val="0"/>
        <w:jc w:val="both"/>
        <w:rPr>
          <w:rFonts w:asciiTheme="minorBidi" w:hAnsiTheme="minorBidi"/>
          <w:i/>
          <w:iCs/>
          <w:color w:val="000000" w:themeColor="text1"/>
          <w:sz w:val="22"/>
          <w:szCs w:val="22"/>
        </w:rPr>
      </w:pPr>
    </w:p>
    <w:p w:rsidR="00841C9D" w:rsidRPr="00841C9D" w:rsidRDefault="00841C9D" w:rsidP="00841C9D">
      <w:pPr>
        <w:autoSpaceDE w:val="0"/>
        <w:autoSpaceDN w:val="0"/>
        <w:adjustRightInd w:val="0"/>
        <w:jc w:val="both"/>
        <w:rPr>
          <w:rFonts w:asciiTheme="minorBidi" w:hAnsiTheme="minorBidi"/>
          <w:i/>
          <w:iCs/>
          <w:color w:val="000000" w:themeColor="text1"/>
          <w:sz w:val="22"/>
          <w:szCs w:val="22"/>
        </w:rPr>
      </w:pP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vertAlign w:val="superscript"/>
        </w:rPr>
        <w:t>1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>Stembryogenesis</w:t>
      </w:r>
      <w:proofErr w:type="spellEnd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 Lab, Max Planck Institute of Molecular Cell Biology and Genetics; 01307, Dresden, Germany</w:t>
      </w:r>
    </w:p>
    <w:p w:rsidR="00841C9D" w:rsidRPr="00841C9D" w:rsidRDefault="00841C9D" w:rsidP="00841C9D">
      <w:pPr>
        <w:autoSpaceDE w:val="0"/>
        <w:autoSpaceDN w:val="0"/>
        <w:adjustRightInd w:val="0"/>
        <w:jc w:val="both"/>
        <w:rPr>
          <w:rFonts w:asciiTheme="minorBidi" w:hAnsiTheme="minorBidi"/>
          <w:i/>
          <w:iCs/>
          <w:color w:val="000000" w:themeColor="text1"/>
          <w:sz w:val="22"/>
          <w:szCs w:val="22"/>
        </w:rPr>
      </w:pP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vertAlign w:val="superscript"/>
        </w:rPr>
        <w:t>2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 Faculty of Biology, </w:t>
      </w:r>
      <w:proofErr w:type="spellStart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>Technische</w:t>
      </w:r>
      <w:proofErr w:type="spellEnd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 Universität Dresden; 01307, Dresden, Germany</w:t>
      </w:r>
    </w:p>
    <w:p w:rsidR="00841C9D" w:rsidRPr="00841C9D" w:rsidRDefault="00841C9D" w:rsidP="00841C9D">
      <w:pPr>
        <w:autoSpaceDE w:val="0"/>
        <w:autoSpaceDN w:val="0"/>
        <w:adjustRightInd w:val="0"/>
        <w:jc w:val="both"/>
        <w:rPr>
          <w:rFonts w:asciiTheme="minorBidi" w:hAnsiTheme="minorBidi"/>
          <w:i/>
          <w:iCs/>
          <w:color w:val="000000" w:themeColor="text1"/>
          <w:sz w:val="22"/>
          <w:szCs w:val="22"/>
        </w:rPr>
      </w:pP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vertAlign w:val="superscript"/>
        </w:rPr>
        <w:t>3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 Stem Cell Chromatin Lab, Department of Genome Regulation, Max Planck Institute for Molecular Genetics; 14195, Berlin, Germany</w:t>
      </w:r>
    </w:p>
    <w:p w:rsidR="00841C9D" w:rsidRPr="00841C9D" w:rsidRDefault="00841C9D" w:rsidP="00841C9D">
      <w:pPr>
        <w:autoSpaceDE w:val="0"/>
        <w:autoSpaceDN w:val="0"/>
        <w:adjustRightInd w:val="0"/>
        <w:jc w:val="both"/>
        <w:rPr>
          <w:rFonts w:asciiTheme="minorBidi" w:hAnsiTheme="minorBidi"/>
          <w:i/>
          <w:iCs/>
          <w:color w:val="000000" w:themeColor="text1"/>
          <w:sz w:val="22"/>
          <w:szCs w:val="22"/>
        </w:rPr>
      </w:pP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vertAlign w:val="superscript"/>
        </w:rPr>
        <w:t>4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 Department of Genome Regulation, Max Planck Institute for Molecular Genetics; 14195, Berlin, Germany</w:t>
      </w:r>
    </w:p>
    <w:p w:rsidR="00841C9D" w:rsidRPr="00841C9D" w:rsidRDefault="00841C9D" w:rsidP="00841C9D">
      <w:pPr>
        <w:autoSpaceDE w:val="0"/>
        <w:autoSpaceDN w:val="0"/>
        <w:adjustRightInd w:val="0"/>
        <w:jc w:val="both"/>
        <w:rPr>
          <w:rFonts w:asciiTheme="minorBidi" w:hAnsiTheme="minorBidi"/>
          <w:i/>
          <w:iCs/>
          <w:color w:val="000000" w:themeColor="text1"/>
          <w:sz w:val="22"/>
          <w:szCs w:val="22"/>
        </w:rPr>
      </w:pP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vertAlign w:val="superscript"/>
        </w:rPr>
        <w:t>5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 Cluster of Excellence Physics of Life, </w:t>
      </w:r>
      <w:proofErr w:type="spellStart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>Technische</w:t>
      </w:r>
      <w:proofErr w:type="spellEnd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 Universität Dresden; 01307, Dresden, Germany</w:t>
      </w:r>
    </w:p>
    <w:p w:rsidR="00841C9D" w:rsidRPr="00841C9D" w:rsidRDefault="00841C9D" w:rsidP="00841C9D">
      <w:pPr>
        <w:autoSpaceDE w:val="0"/>
        <w:autoSpaceDN w:val="0"/>
        <w:adjustRightInd w:val="0"/>
        <w:jc w:val="both"/>
        <w:rPr>
          <w:rFonts w:asciiTheme="minorBidi" w:hAnsiTheme="minorBidi"/>
          <w:i/>
          <w:iCs/>
          <w:color w:val="000000" w:themeColor="text1"/>
          <w:sz w:val="22"/>
          <w:szCs w:val="22"/>
          <w:lang w:val="da-DK"/>
        </w:rPr>
      </w:pP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vertAlign w:val="superscript"/>
          <w:lang w:val="da-DK"/>
        </w:rPr>
        <w:t xml:space="preserve">6 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lang w:val="da-DK"/>
        </w:rPr>
        <w:t xml:space="preserve">Center for Systems </w:t>
      </w:r>
      <w:proofErr w:type="spellStart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lang w:val="da-DK"/>
        </w:rPr>
        <w:t>Biology</w:t>
      </w:r>
      <w:proofErr w:type="spellEnd"/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lang w:val="da-DK"/>
        </w:rPr>
        <w:t xml:space="preserve"> Dresden; 01307, Dresden, Germany</w:t>
      </w:r>
    </w:p>
    <w:p w:rsidR="00841C9D" w:rsidRPr="00841C9D" w:rsidRDefault="00841C9D" w:rsidP="00841C9D">
      <w:pPr>
        <w:autoSpaceDE w:val="0"/>
        <w:autoSpaceDN w:val="0"/>
        <w:adjustRightInd w:val="0"/>
        <w:jc w:val="both"/>
        <w:rPr>
          <w:rFonts w:asciiTheme="minorBidi" w:hAnsiTheme="minorBidi"/>
          <w:i/>
          <w:iCs/>
          <w:color w:val="000000" w:themeColor="text1"/>
          <w:sz w:val="22"/>
          <w:szCs w:val="22"/>
        </w:rPr>
      </w:pP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vertAlign w:val="superscript"/>
        </w:rPr>
        <w:t>7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 These authors contributed equally to this work and should be considered shared first authors</w:t>
      </w:r>
    </w:p>
    <w:p w:rsidR="00841C9D" w:rsidRPr="00841C9D" w:rsidRDefault="00841C9D" w:rsidP="00841C9D">
      <w:pPr>
        <w:autoSpaceDE w:val="0"/>
        <w:autoSpaceDN w:val="0"/>
        <w:adjustRightInd w:val="0"/>
        <w:jc w:val="both"/>
        <w:rPr>
          <w:rFonts w:asciiTheme="minorBidi" w:hAnsiTheme="minorBidi"/>
          <w:i/>
          <w:iCs/>
          <w:color w:val="000000" w:themeColor="text1"/>
          <w:sz w:val="22"/>
          <w:szCs w:val="22"/>
        </w:rPr>
      </w:pP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  <w:vertAlign w:val="superscript"/>
        </w:rPr>
        <w:t>8</w:t>
      </w:r>
      <w:r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 xml:space="preserve"> These authors contributed equally to this work and should be considered shared second authors</w:t>
      </w:r>
    </w:p>
    <w:p w:rsidR="00F93775" w:rsidRPr="00841C9D" w:rsidRDefault="00F93775" w:rsidP="00841C9D">
      <w:pPr>
        <w:jc w:val="both"/>
        <w:rPr>
          <w:rFonts w:asciiTheme="minorBidi" w:hAnsiTheme="minorBidi"/>
          <w:color w:val="000000" w:themeColor="text1"/>
          <w:sz w:val="22"/>
          <w:szCs w:val="22"/>
        </w:rPr>
      </w:pPr>
    </w:p>
    <w:p w:rsidR="00F93775" w:rsidRPr="00841C9D" w:rsidRDefault="00F93775" w:rsidP="00841C9D">
      <w:pPr>
        <w:jc w:val="both"/>
        <w:rPr>
          <w:rFonts w:asciiTheme="minorBidi" w:hAnsiTheme="minorBidi"/>
          <w:color w:val="000000" w:themeColor="text1"/>
          <w:sz w:val="22"/>
          <w:szCs w:val="22"/>
        </w:rPr>
      </w:pPr>
    </w:p>
    <w:p w:rsidR="00D51401" w:rsidRPr="00D51401" w:rsidRDefault="0038170C" w:rsidP="00144EA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41C9D">
        <w:rPr>
          <w:rFonts w:asciiTheme="minorBidi" w:hAnsiTheme="minorBidi"/>
          <w:color w:val="000000" w:themeColor="text1"/>
          <w:sz w:val="22"/>
          <w:szCs w:val="22"/>
        </w:rPr>
        <w:t>E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>arly mouse development happens under physiological hypoxic conditions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 xml:space="preserve">, 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>which inevitably leads to changes in the metabolic state of the embryo, adapting to the environment to meet the energetic requirements of the cells.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>Although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r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ecent studies have correlated these metabolic 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>gradients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with signaling and morphogenetic processes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, 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>the precise mechanisms through which metabolism regulates morphogen signaling pathways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</w:t>
      </w:r>
      <w:r w:rsidR="00144EA6">
        <w:rPr>
          <w:rFonts w:asciiTheme="minorBidi" w:hAnsiTheme="minorBidi"/>
          <w:color w:val="000000" w:themeColor="text1"/>
          <w:sz w:val="22"/>
          <w:szCs w:val="22"/>
        </w:rPr>
        <w:t xml:space="preserve">and 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cell functions 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>during early mammalian development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remain unclear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>.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In this research we aim to dissect the role of 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metabolism in patterning 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>during mouse gastrulation</w:t>
      </w:r>
      <w:r w:rsidR="00F93775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using </w:t>
      </w:r>
      <w:r w:rsidR="00F93775" w:rsidRPr="00841C9D">
        <w:rPr>
          <w:rFonts w:asciiTheme="minorBidi" w:hAnsiTheme="minorBidi"/>
          <w:i/>
          <w:iCs/>
          <w:color w:val="000000" w:themeColor="text1"/>
          <w:sz w:val="22"/>
          <w:szCs w:val="22"/>
        </w:rPr>
        <w:t>in vitro</w:t>
      </w:r>
      <w:r w:rsidR="00F93775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mouse </w:t>
      </w:r>
      <w:r w:rsidR="00144EA6">
        <w:rPr>
          <w:rFonts w:asciiTheme="minorBidi" w:hAnsiTheme="minorBidi"/>
          <w:color w:val="000000" w:themeColor="text1"/>
          <w:sz w:val="22"/>
          <w:szCs w:val="22"/>
        </w:rPr>
        <w:t xml:space="preserve">embryo </w:t>
      </w:r>
      <w:r w:rsidR="00F93775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models (aka </w:t>
      </w:r>
      <w:proofErr w:type="spellStart"/>
      <w:r w:rsidR="00F93775" w:rsidRPr="00841C9D">
        <w:rPr>
          <w:rFonts w:asciiTheme="minorBidi" w:hAnsiTheme="minorBidi"/>
          <w:color w:val="000000" w:themeColor="text1"/>
          <w:sz w:val="22"/>
          <w:szCs w:val="22"/>
        </w:rPr>
        <w:t>stembryos</w:t>
      </w:r>
      <w:proofErr w:type="spellEnd"/>
      <w:r w:rsidR="00F93775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) 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that recapitulate the </w:t>
      </w:r>
      <w:r w:rsidR="00285B8A">
        <w:rPr>
          <w:rFonts w:asciiTheme="minorBidi" w:hAnsiTheme="minorBidi"/>
          <w:color w:val="000000" w:themeColor="text1"/>
          <w:sz w:val="22"/>
          <w:szCs w:val="22"/>
        </w:rPr>
        <w:t>establishment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of the cell fates (mesoderm, endoderm, neuroectoderm and </w:t>
      </w:r>
      <w:proofErr w:type="spellStart"/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>neuromesodermal</w:t>
      </w:r>
      <w:proofErr w:type="spellEnd"/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p</w:t>
      </w:r>
      <w:r w:rsidR="00144EA6">
        <w:rPr>
          <w:rFonts w:asciiTheme="minorBidi" w:hAnsiTheme="minorBidi"/>
          <w:color w:val="000000" w:themeColor="text1"/>
          <w:sz w:val="22"/>
          <w:szCs w:val="22"/>
        </w:rPr>
        <w:t>r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ogenitors (NMP)) and the morphology of a gastrulating mouse embryo. Using a combination of </w:t>
      </w:r>
      <w:r w:rsidR="00F93775" w:rsidRPr="00841C9D">
        <w:rPr>
          <w:rFonts w:asciiTheme="minorBidi" w:hAnsiTheme="minorBidi"/>
          <w:color w:val="000000" w:themeColor="text1"/>
          <w:sz w:val="22"/>
          <w:szCs w:val="22"/>
        </w:rPr>
        <w:t>advance imaging, single-cell RNA-sequencing, genome engineering and image analysis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we identified that an early imbalance of 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 xml:space="preserve">glycolysis and </w:t>
      </w:r>
      <w:proofErr w:type="spellStart"/>
      <w:r w:rsidR="00841C9D" w:rsidRPr="00841C9D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>OxPhos</w:t>
      </w:r>
      <w:proofErr w:type="spellEnd"/>
      <w:r w:rsidR="00841C9D" w:rsidRPr="00841C9D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 xml:space="preserve"> in the 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>bipotent NMP population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 xml:space="preserve"> results in </w:t>
      </w:r>
      <w:r w:rsidR="00144EA6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 xml:space="preserve">a 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 xml:space="preserve">neural lineage bias 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>and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 xml:space="preserve"> aberrant morphogenesis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>. This can be corrected by</w:t>
      </w:r>
      <w:r w:rsidR="00066370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 xml:space="preserve"> chemically boosting the glycolytic pathway which leads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 xml:space="preserve"> to the expansion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 xml:space="preserve"> NMP population </w:t>
      </w:r>
      <w:r w:rsidR="00144EA6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 xml:space="preserve">early on, 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>and t</w:t>
      </w:r>
      <w:r w:rsidR="00144EA6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 xml:space="preserve">o 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 xml:space="preserve">improved mesodermal </w:t>
      </w:r>
      <w:r w:rsidR="00144EA6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 xml:space="preserve">specification during </w:t>
      </w:r>
      <w:proofErr w:type="spellStart"/>
      <w:r w:rsidR="00144EA6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>somitogenesis</w:t>
      </w:r>
      <w:proofErr w:type="spellEnd"/>
      <w:r w:rsidR="00841C9D" w:rsidRPr="00841C9D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 xml:space="preserve">. These patterning changes have been experimentally linked to modulations of the 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FGF and </w:t>
      </w:r>
      <w:proofErr w:type="spellStart"/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>Wnt</w:t>
      </w:r>
      <w:proofErr w:type="spellEnd"/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signaling pathways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 xml:space="preserve"> activity by a glycolytic gradient along the anterior-posterior axis. In addition, we also investigated the role of hypoxia as physiological trigger of metabolic switch towards glycolytic metabolism. 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>Experimental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manipulation of the oxygen tension in the culture condition of </w:t>
      </w:r>
      <w:proofErr w:type="spellStart"/>
      <w:r w:rsidRPr="00841C9D">
        <w:rPr>
          <w:rFonts w:asciiTheme="minorBidi" w:hAnsiTheme="minorBidi"/>
          <w:color w:val="000000" w:themeColor="text1"/>
          <w:sz w:val="22"/>
          <w:szCs w:val="22"/>
        </w:rPr>
        <w:t>stembryos</w:t>
      </w:r>
      <w:proofErr w:type="spellEnd"/>
      <w:r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lead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>s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to </w:t>
      </w:r>
      <w:r w:rsidR="00144EA6">
        <w:rPr>
          <w:rFonts w:asciiTheme="minorBidi" w:hAnsiTheme="minorBidi"/>
          <w:color w:val="000000" w:themeColor="text1"/>
          <w:sz w:val="22"/>
          <w:szCs w:val="22"/>
        </w:rPr>
        <w:t>a more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robust</w:t>
      </w:r>
      <w:r w:rsidR="00144EA6">
        <w:rPr>
          <w:rFonts w:asciiTheme="minorBidi" w:hAnsiTheme="minorBidi"/>
          <w:color w:val="000000" w:themeColor="text1"/>
          <w:sz w:val="22"/>
          <w:szCs w:val="22"/>
        </w:rPr>
        <w:t xml:space="preserve"> specification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of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mesodermal 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fates, </w:t>
      </w:r>
      <w:r w:rsidR="00144EA6">
        <w:rPr>
          <w:rFonts w:asciiTheme="minorBidi" w:hAnsiTheme="minorBidi"/>
          <w:color w:val="000000" w:themeColor="text1"/>
          <w:sz w:val="22"/>
          <w:szCs w:val="22"/>
        </w:rPr>
        <w:t xml:space="preserve">an 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improved 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 xml:space="preserve">endodermal </w:t>
      </w:r>
      <w:r w:rsidR="00144EA6">
        <w:rPr>
          <w:rFonts w:asciiTheme="minorBidi" w:hAnsiTheme="minorBidi"/>
          <w:color w:val="000000" w:themeColor="text1"/>
          <w:sz w:val="22"/>
          <w:szCs w:val="22"/>
        </w:rPr>
        <w:t>lineage representation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and the putative formation of axial mesodermal structures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 xml:space="preserve">. 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 xml:space="preserve">Preliminary data in </w:t>
      </w:r>
      <w:proofErr w:type="spellStart"/>
      <w:r w:rsidR="00F82CA8" w:rsidRPr="00841C9D">
        <w:rPr>
          <w:rFonts w:asciiTheme="minorBidi" w:hAnsiTheme="minorBidi"/>
          <w:color w:val="000000" w:themeColor="text1"/>
          <w:sz w:val="22"/>
          <w:szCs w:val="22"/>
        </w:rPr>
        <w:t>stembryos</w:t>
      </w:r>
      <w:proofErr w:type="spellEnd"/>
      <w:r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treated with H</w:t>
      </w:r>
      <w:r w:rsidRPr="00841C9D">
        <w:rPr>
          <w:rFonts w:asciiTheme="minorBidi" w:hAnsiTheme="minorBidi"/>
          <w:color w:val="000000" w:themeColor="text1"/>
          <w:sz w:val="22"/>
          <w:szCs w:val="22"/>
          <w:vertAlign w:val="subscript"/>
        </w:rPr>
        <w:t>2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>O</w:t>
      </w:r>
      <w:r w:rsidRPr="00841C9D">
        <w:rPr>
          <w:rFonts w:asciiTheme="minorBidi" w:hAnsiTheme="minorBidi"/>
          <w:color w:val="000000" w:themeColor="text1"/>
          <w:sz w:val="22"/>
          <w:szCs w:val="22"/>
          <w:vertAlign w:val="subscript"/>
        </w:rPr>
        <w:t>2</w:t>
      </w:r>
      <w:r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seem </w:t>
      </w:r>
      <w:r w:rsidR="00144EA6">
        <w:rPr>
          <w:rFonts w:asciiTheme="minorBidi" w:hAnsiTheme="minorBidi"/>
          <w:color w:val="000000" w:themeColor="text1"/>
          <w:sz w:val="22"/>
          <w:szCs w:val="22"/>
        </w:rPr>
        <w:t xml:space="preserve">to link the signaling role of physiological </w:t>
      </w:r>
      <w:r w:rsidR="00C24667">
        <w:rPr>
          <w:rFonts w:asciiTheme="minorBidi" w:hAnsiTheme="minorBidi"/>
          <w:color w:val="000000" w:themeColor="text1"/>
          <w:sz w:val="22"/>
          <w:szCs w:val="22"/>
        </w:rPr>
        <w:t>reactive oxygen sp</w:t>
      </w:r>
      <w:r w:rsidR="00731A97">
        <w:rPr>
          <w:rFonts w:asciiTheme="minorBidi" w:hAnsiTheme="minorBidi"/>
          <w:color w:val="000000" w:themeColor="text1"/>
          <w:sz w:val="22"/>
          <w:szCs w:val="22"/>
        </w:rPr>
        <w:t>e</w:t>
      </w:r>
      <w:r w:rsidR="00C24667">
        <w:rPr>
          <w:rFonts w:asciiTheme="minorBidi" w:hAnsiTheme="minorBidi"/>
          <w:color w:val="000000" w:themeColor="text1"/>
          <w:sz w:val="22"/>
          <w:szCs w:val="22"/>
        </w:rPr>
        <w:t>cies (ROS)</w:t>
      </w:r>
      <w:r w:rsidR="00144EA6">
        <w:rPr>
          <w:rFonts w:asciiTheme="minorBidi" w:hAnsiTheme="minorBidi"/>
          <w:color w:val="000000" w:themeColor="text1"/>
          <w:sz w:val="22"/>
          <w:szCs w:val="22"/>
        </w:rPr>
        <w:t xml:space="preserve"> to </w:t>
      </w:r>
      <w:r w:rsidR="00144EA6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axial organizer and </w:t>
      </w:r>
      <w:proofErr w:type="spellStart"/>
      <w:r w:rsidR="00144EA6" w:rsidRPr="00841C9D">
        <w:rPr>
          <w:rFonts w:asciiTheme="minorBidi" w:hAnsiTheme="minorBidi"/>
          <w:color w:val="000000" w:themeColor="text1"/>
          <w:sz w:val="22"/>
          <w:szCs w:val="22"/>
        </w:rPr>
        <w:t>endomesoderm</w:t>
      </w:r>
      <w:proofErr w:type="spellEnd"/>
      <w:r w:rsidR="00144EA6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 specification. </w:t>
      </w:r>
      <w:r w:rsidR="00841C9D" w:rsidRPr="00841C9D">
        <w:rPr>
          <w:rFonts w:asciiTheme="minorBidi" w:hAnsiTheme="minorBidi"/>
          <w:color w:val="000000" w:themeColor="text1"/>
          <w:sz w:val="22"/>
          <w:szCs w:val="22"/>
        </w:rPr>
        <w:t xml:space="preserve">We are further </w:t>
      </w:r>
      <w:r w:rsidR="00841C9D" w:rsidRPr="00D51401">
        <w:rPr>
          <w:rFonts w:ascii="Arial" w:hAnsi="Arial" w:cs="Arial"/>
          <w:color w:val="000000" w:themeColor="text1"/>
          <w:sz w:val="22"/>
          <w:szCs w:val="22"/>
        </w:rPr>
        <w:t xml:space="preserve">exploring </w:t>
      </w:r>
      <w:r w:rsidR="00144EA6" w:rsidRPr="00D51401">
        <w:rPr>
          <w:rFonts w:ascii="Arial" w:hAnsi="Arial" w:cs="Arial"/>
          <w:color w:val="000000" w:themeColor="text1"/>
          <w:sz w:val="22"/>
          <w:szCs w:val="22"/>
        </w:rPr>
        <w:t xml:space="preserve">how these </w:t>
      </w:r>
      <w:r w:rsidR="00841C9D" w:rsidRPr="00D51401">
        <w:rPr>
          <w:rFonts w:ascii="Arial" w:hAnsi="Arial" w:cs="Arial"/>
          <w:color w:val="000000" w:themeColor="text1"/>
          <w:sz w:val="22"/>
          <w:szCs w:val="22"/>
        </w:rPr>
        <w:t xml:space="preserve">metabolic gradients are </w:t>
      </w:r>
      <w:r w:rsidR="00144EA6" w:rsidRPr="00D51401">
        <w:rPr>
          <w:rFonts w:ascii="Arial" w:hAnsi="Arial" w:cs="Arial"/>
          <w:color w:val="000000" w:themeColor="text1"/>
          <w:sz w:val="22"/>
          <w:szCs w:val="22"/>
        </w:rPr>
        <w:t>e</w:t>
      </w:r>
      <w:r w:rsidR="00841C9D" w:rsidRPr="00D51401">
        <w:rPr>
          <w:rFonts w:ascii="Arial" w:hAnsi="Arial" w:cs="Arial"/>
          <w:color w:val="000000" w:themeColor="text1"/>
          <w:sz w:val="22"/>
          <w:szCs w:val="22"/>
        </w:rPr>
        <w:t xml:space="preserve">stablished in space and time and their </w:t>
      </w:r>
      <w:r w:rsidR="00D51401" w:rsidRPr="00D51401">
        <w:rPr>
          <w:rFonts w:ascii="Arial" w:hAnsi="Arial" w:cs="Arial"/>
          <w:color w:val="000000" w:themeColor="text1"/>
          <w:sz w:val="22"/>
          <w:szCs w:val="22"/>
        </w:rPr>
        <w:t>invol</w:t>
      </w:r>
      <w:r w:rsidR="006D2DA4">
        <w:rPr>
          <w:rFonts w:ascii="Arial" w:hAnsi="Arial" w:cs="Arial"/>
          <w:color w:val="000000" w:themeColor="text1"/>
          <w:sz w:val="22"/>
          <w:szCs w:val="22"/>
        </w:rPr>
        <w:t>ve</w:t>
      </w:r>
      <w:r w:rsidR="00D51401" w:rsidRPr="00D51401">
        <w:rPr>
          <w:rFonts w:ascii="Arial" w:hAnsi="Arial" w:cs="Arial"/>
          <w:color w:val="000000" w:themeColor="text1"/>
          <w:sz w:val="22"/>
          <w:szCs w:val="22"/>
        </w:rPr>
        <w:t>ment</w:t>
      </w:r>
      <w:r w:rsidR="00841C9D" w:rsidRPr="00D51401">
        <w:rPr>
          <w:rFonts w:ascii="Arial" w:hAnsi="Arial" w:cs="Arial"/>
          <w:color w:val="000000" w:themeColor="text1"/>
          <w:sz w:val="22"/>
          <w:szCs w:val="22"/>
        </w:rPr>
        <w:t xml:space="preserve"> in lineage decision and patterning via morphogen signaling</w:t>
      </w:r>
      <w:r w:rsidRPr="00D5140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841C9D" w:rsidRPr="00D51401">
        <w:rPr>
          <w:rFonts w:ascii="Arial" w:hAnsi="Arial" w:cs="Arial"/>
          <w:color w:val="000000" w:themeColor="text1"/>
          <w:sz w:val="22"/>
          <w:szCs w:val="22"/>
        </w:rPr>
        <w:t xml:space="preserve">Withal, our findings </w:t>
      </w:r>
      <w:r w:rsidR="00144EA6" w:rsidRPr="00D51401">
        <w:rPr>
          <w:rFonts w:ascii="Arial" w:hAnsi="Arial" w:cs="Arial"/>
          <w:color w:val="000000" w:themeColor="text1"/>
          <w:sz w:val="22"/>
          <w:szCs w:val="22"/>
        </w:rPr>
        <w:t>highlight the</w:t>
      </w:r>
      <w:r w:rsidR="00841C9D" w:rsidRPr="00D5140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51401" w:rsidRPr="00D51401">
        <w:rPr>
          <w:rFonts w:ascii="Arial" w:hAnsi="Arial" w:cs="Arial"/>
          <w:color w:val="000000" w:themeColor="text1"/>
          <w:sz w:val="22"/>
          <w:szCs w:val="22"/>
        </w:rPr>
        <w:t>interplay between metabolism</w:t>
      </w:r>
      <w:r w:rsidR="00D5140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51401" w:rsidRPr="00D51401">
        <w:rPr>
          <w:rFonts w:ascii="Arial" w:hAnsi="Arial" w:cs="Arial"/>
          <w:color w:val="000000" w:themeColor="text1"/>
          <w:sz w:val="22"/>
          <w:szCs w:val="22"/>
        </w:rPr>
        <w:t xml:space="preserve">and signaling and </w:t>
      </w:r>
      <w:r w:rsidR="00D51401">
        <w:rPr>
          <w:rFonts w:ascii="Arial" w:hAnsi="Arial" w:cs="Arial"/>
          <w:color w:val="000000" w:themeColor="text1"/>
          <w:sz w:val="22"/>
          <w:szCs w:val="22"/>
        </w:rPr>
        <w:t>its</w:t>
      </w:r>
      <w:r w:rsidR="003D5F5E">
        <w:rPr>
          <w:rFonts w:ascii="Arial" w:hAnsi="Arial" w:cs="Arial"/>
          <w:color w:val="000000" w:themeColor="text1"/>
          <w:sz w:val="22"/>
          <w:szCs w:val="22"/>
        </w:rPr>
        <w:t xml:space="preserve"> key</w:t>
      </w:r>
      <w:r w:rsidR="00D51401" w:rsidRPr="00D51401">
        <w:rPr>
          <w:rFonts w:ascii="Arial" w:hAnsi="Arial" w:cs="Arial"/>
          <w:color w:val="000000" w:themeColor="text1"/>
          <w:sz w:val="22"/>
          <w:szCs w:val="22"/>
        </w:rPr>
        <w:t xml:space="preserve"> role in regulating balanced cell fate determination </w:t>
      </w:r>
      <w:r w:rsidR="00D51401" w:rsidRPr="00D51401">
        <w:rPr>
          <w:rFonts w:ascii="Arial" w:hAnsi="Arial" w:cs="Arial"/>
          <w:i/>
          <w:color w:val="000000" w:themeColor="text1"/>
          <w:sz w:val="22"/>
          <w:szCs w:val="22"/>
        </w:rPr>
        <w:t>in vitro</w:t>
      </w:r>
      <w:r w:rsidR="00D51401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D51401" w:rsidRPr="00D51401" w:rsidRDefault="00D51401" w:rsidP="00144EA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46EEC" w:rsidRDefault="00546EEC"/>
    <w:sectPr w:rsidR="00546E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DE"/>
    <w:rsid w:val="00066370"/>
    <w:rsid w:val="00077FA0"/>
    <w:rsid w:val="000C4F18"/>
    <w:rsid w:val="00144EA6"/>
    <w:rsid w:val="00145CDD"/>
    <w:rsid w:val="00175405"/>
    <w:rsid w:val="00192E66"/>
    <w:rsid w:val="00196567"/>
    <w:rsid w:val="00233D38"/>
    <w:rsid w:val="002463C8"/>
    <w:rsid w:val="002849ED"/>
    <w:rsid w:val="00285B8A"/>
    <w:rsid w:val="00287E00"/>
    <w:rsid w:val="00293B5C"/>
    <w:rsid w:val="00364A26"/>
    <w:rsid w:val="0038170C"/>
    <w:rsid w:val="003D5F5E"/>
    <w:rsid w:val="00451134"/>
    <w:rsid w:val="004556D0"/>
    <w:rsid w:val="00484FAA"/>
    <w:rsid w:val="00507912"/>
    <w:rsid w:val="00546EEC"/>
    <w:rsid w:val="005D23C3"/>
    <w:rsid w:val="00650C86"/>
    <w:rsid w:val="006B5ED0"/>
    <w:rsid w:val="006D2DA4"/>
    <w:rsid w:val="00731A97"/>
    <w:rsid w:val="007363EE"/>
    <w:rsid w:val="0075131D"/>
    <w:rsid w:val="007F7FD4"/>
    <w:rsid w:val="00841C9D"/>
    <w:rsid w:val="00893EF1"/>
    <w:rsid w:val="008F1A68"/>
    <w:rsid w:val="0098237C"/>
    <w:rsid w:val="00A1660C"/>
    <w:rsid w:val="00A32DA1"/>
    <w:rsid w:val="00A50F5B"/>
    <w:rsid w:val="00A652DE"/>
    <w:rsid w:val="00AC6D32"/>
    <w:rsid w:val="00B16C34"/>
    <w:rsid w:val="00BA2011"/>
    <w:rsid w:val="00BB48C8"/>
    <w:rsid w:val="00BD702C"/>
    <w:rsid w:val="00C24667"/>
    <w:rsid w:val="00C250F0"/>
    <w:rsid w:val="00C26278"/>
    <w:rsid w:val="00C93D0D"/>
    <w:rsid w:val="00CA245E"/>
    <w:rsid w:val="00D51401"/>
    <w:rsid w:val="00D57066"/>
    <w:rsid w:val="00DB4E3B"/>
    <w:rsid w:val="00DC3FAB"/>
    <w:rsid w:val="00DF418B"/>
    <w:rsid w:val="00E32327"/>
    <w:rsid w:val="00E6422B"/>
    <w:rsid w:val="00ED630A"/>
    <w:rsid w:val="00F2570D"/>
    <w:rsid w:val="00F82CA8"/>
    <w:rsid w:val="00F91210"/>
    <w:rsid w:val="00F93775"/>
    <w:rsid w:val="00FD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51A25"/>
  <w15:chartTrackingRefBased/>
  <w15:docId w15:val="{9E9726D5-2BA8-704B-A579-E6EED6A0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17</cp:revision>
  <dcterms:created xsi:type="dcterms:W3CDTF">2024-04-05T15:42:00Z</dcterms:created>
  <dcterms:modified xsi:type="dcterms:W3CDTF">2024-04-05T16:04:00Z</dcterms:modified>
</cp:coreProperties>
</file>