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72E96" w14:textId="75BB01DA" w:rsidR="00520605" w:rsidRDefault="006D016E" w:rsidP="003E5D3B">
      <w:pPr>
        <w:spacing w:after="0" w:line="240" w:lineRule="auto"/>
        <w:rPr>
          <w:rFonts w:ascii="Arial" w:hAnsi="Arial" w:cs="Arial"/>
          <w:b/>
          <w:bCs/>
          <w:lang w:val="en-US"/>
        </w:rPr>
      </w:pPr>
      <w:r w:rsidRPr="006D016E">
        <w:rPr>
          <w:rFonts w:ascii="Arial" w:hAnsi="Arial" w:cs="Arial"/>
          <w:b/>
          <w:bCs/>
          <w:lang w:val="en-US"/>
        </w:rPr>
        <w:t>A role of EZH2-dependent regulation of HIF2α in the chronic hypoxia response in cancer</w:t>
      </w:r>
    </w:p>
    <w:p w14:paraId="71C2F63F" w14:textId="77777777" w:rsidR="009D0BC0" w:rsidRPr="009D0BC0" w:rsidRDefault="009D0BC0" w:rsidP="003E5D3B">
      <w:pPr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5F6DD335" w14:textId="7816E36A" w:rsidR="00520605" w:rsidRPr="00FF6387" w:rsidRDefault="00FF6387" w:rsidP="003E5D3B">
      <w:pPr>
        <w:spacing w:after="0" w:line="240" w:lineRule="auto"/>
        <w:rPr>
          <w:rFonts w:ascii="Arial" w:hAnsi="Arial" w:cs="Arial"/>
          <w:bCs/>
          <w:vertAlign w:val="superscript"/>
          <w:lang w:val="en-US"/>
        </w:rPr>
      </w:pPr>
      <w:r w:rsidRPr="00FF6387">
        <w:rPr>
          <w:rFonts w:ascii="Arial" w:hAnsi="Arial" w:cs="Arial"/>
          <w:bCs/>
          <w:u w:val="single"/>
          <w:lang w:val="en-US"/>
        </w:rPr>
        <w:t xml:space="preserve">Salisa </w:t>
      </w:r>
      <w:r w:rsidR="00520605" w:rsidRPr="00FF6387">
        <w:rPr>
          <w:rFonts w:ascii="Arial" w:hAnsi="Arial" w:cs="Arial"/>
          <w:bCs/>
          <w:u w:val="single"/>
          <w:lang w:val="en-US"/>
        </w:rPr>
        <w:t>Kruijning</w:t>
      </w:r>
      <w:r w:rsidR="00520605" w:rsidRPr="00FF6387">
        <w:rPr>
          <w:rFonts w:ascii="Arial" w:hAnsi="Arial" w:cs="Arial"/>
          <w:bCs/>
          <w:vertAlign w:val="superscript"/>
          <w:lang w:val="en-US"/>
        </w:rPr>
        <w:t>1</w:t>
      </w:r>
      <w:r w:rsidR="00520605" w:rsidRPr="00FF6387">
        <w:rPr>
          <w:rFonts w:ascii="Arial" w:hAnsi="Arial" w:cs="Arial"/>
          <w:bCs/>
          <w:lang w:val="en-US"/>
        </w:rPr>
        <w:t xml:space="preserve">, </w:t>
      </w:r>
      <w:r w:rsidR="00102C26">
        <w:rPr>
          <w:rFonts w:ascii="Arial" w:hAnsi="Arial" w:cs="Arial"/>
          <w:bCs/>
          <w:lang w:val="en-US"/>
        </w:rPr>
        <w:t xml:space="preserve">Sandra </w:t>
      </w:r>
      <w:r w:rsidR="00102C26" w:rsidRPr="00FF6387">
        <w:rPr>
          <w:rFonts w:ascii="Arial" w:hAnsi="Arial" w:cs="Arial"/>
          <w:bCs/>
          <w:lang w:val="en-US"/>
        </w:rPr>
        <w:t>Baumgart</w:t>
      </w:r>
      <w:r w:rsidR="00102C26" w:rsidRPr="00FF6387">
        <w:rPr>
          <w:rFonts w:ascii="Arial" w:hAnsi="Arial" w:cs="Arial"/>
          <w:bCs/>
          <w:vertAlign w:val="superscript"/>
          <w:lang w:val="en-US"/>
        </w:rPr>
        <w:t>1</w:t>
      </w:r>
      <w:r w:rsidR="00102C26" w:rsidRPr="00FF6387">
        <w:rPr>
          <w:rFonts w:ascii="Arial" w:hAnsi="Arial" w:cs="Arial"/>
          <w:bCs/>
          <w:lang w:val="en-US"/>
        </w:rPr>
        <w:t xml:space="preserve">, </w:t>
      </w:r>
      <w:r w:rsidRPr="00FF6387">
        <w:rPr>
          <w:rFonts w:ascii="Arial" w:hAnsi="Arial" w:cs="Arial"/>
          <w:bCs/>
          <w:lang w:val="en-US"/>
        </w:rPr>
        <w:t>Isab</w:t>
      </w:r>
      <w:r w:rsidR="00916C11">
        <w:rPr>
          <w:rFonts w:ascii="Arial" w:hAnsi="Arial" w:cs="Arial"/>
          <w:bCs/>
          <w:lang w:val="en-US"/>
        </w:rPr>
        <w:t>e</w:t>
      </w:r>
      <w:r w:rsidRPr="00FF6387">
        <w:rPr>
          <w:rFonts w:ascii="Arial" w:hAnsi="Arial" w:cs="Arial"/>
          <w:bCs/>
          <w:lang w:val="en-US"/>
        </w:rPr>
        <w:t xml:space="preserve">l </w:t>
      </w:r>
      <w:r w:rsidR="00520605" w:rsidRPr="00FF6387">
        <w:rPr>
          <w:rFonts w:ascii="Arial" w:hAnsi="Arial" w:cs="Arial"/>
          <w:bCs/>
          <w:lang w:val="en-US"/>
        </w:rPr>
        <w:t>Schröter</w:t>
      </w:r>
      <w:r w:rsidR="00520605" w:rsidRPr="00FF6387">
        <w:rPr>
          <w:rFonts w:ascii="Arial" w:hAnsi="Arial" w:cs="Arial"/>
          <w:bCs/>
          <w:vertAlign w:val="superscript"/>
          <w:lang w:val="en-US"/>
        </w:rPr>
        <w:t>1</w:t>
      </w:r>
      <w:r w:rsidR="00520605" w:rsidRPr="00FF6387"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  <w:lang w:val="en-US"/>
        </w:rPr>
        <w:t xml:space="preserve">Sabine </w:t>
      </w:r>
      <w:r w:rsidR="00520605" w:rsidRPr="00FF6387">
        <w:rPr>
          <w:rFonts w:ascii="Arial" w:hAnsi="Arial" w:cs="Arial"/>
          <w:bCs/>
          <w:lang w:val="en-US"/>
        </w:rPr>
        <w:t>Gräf</w:t>
      </w:r>
      <w:r w:rsidR="00520605" w:rsidRPr="00FF6387">
        <w:rPr>
          <w:rFonts w:ascii="Arial" w:hAnsi="Arial" w:cs="Arial"/>
          <w:bCs/>
          <w:vertAlign w:val="superscript"/>
          <w:lang w:val="en-US"/>
        </w:rPr>
        <w:t>1</w:t>
      </w:r>
      <w:r w:rsidR="00520605" w:rsidRPr="00FF6387"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  <w:lang w:val="en-US"/>
        </w:rPr>
        <w:t xml:space="preserve">Attila </w:t>
      </w:r>
      <w:r w:rsidR="00520605" w:rsidRPr="00FF6387">
        <w:rPr>
          <w:rFonts w:ascii="Arial" w:hAnsi="Arial" w:cs="Arial"/>
          <w:bCs/>
          <w:lang w:val="en-US"/>
        </w:rPr>
        <w:t>Németh</w:t>
      </w:r>
      <w:r w:rsidR="00520605" w:rsidRPr="00FF6387">
        <w:rPr>
          <w:rFonts w:ascii="Arial" w:hAnsi="Arial" w:cs="Arial"/>
          <w:bCs/>
          <w:vertAlign w:val="superscript"/>
          <w:lang w:val="en-US"/>
        </w:rPr>
        <w:t>1</w:t>
      </w:r>
      <w:proofErr w:type="gramStart"/>
      <w:r w:rsidR="003E5D3B" w:rsidRPr="00FF6387">
        <w:rPr>
          <w:rFonts w:ascii="Arial" w:hAnsi="Arial" w:cs="Arial"/>
          <w:bCs/>
          <w:vertAlign w:val="superscript"/>
          <w:lang w:val="en-US"/>
        </w:rPr>
        <w:t>,2</w:t>
      </w:r>
      <w:proofErr w:type="gramEnd"/>
      <w:r w:rsidR="003E5D3B" w:rsidRPr="00FF6387">
        <w:rPr>
          <w:rFonts w:ascii="Arial" w:hAnsi="Arial" w:cs="Arial"/>
          <w:bCs/>
          <w:vertAlign w:val="superscript"/>
          <w:lang w:val="en-US"/>
        </w:rPr>
        <w:t>,*</w:t>
      </w:r>
      <w:r w:rsidR="00520605" w:rsidRPr="00FF6387">
        <w:rPr>
          <w:rFonts w:ascii="Arial" w:hAnsi="Arial" w:cs="Arial"/>
          <w:bCs/>
          <w:lang w:val="en-US"/>
        </w:rPr>
        <w:t xml:space="preserve">, </w:t>
      </w:r>
      <w:r>
        <w:rPr>
          <w:rFonts w:ascii="Arial" w:hAnsi="Arial" w:cs="Arial"/>
          <w:bCs/>
          <w:lang w:val="en-US"/>
        </w:rPr>
        <w:t xml:space="preserve">Till </w:t>
      </w:r>
      <w:r w:rsidR="00520605" w:rsidRPr="00FF6387">
        <w:rPr>
          <w:rFonts w:ascii="Arial" w:hAnsi="Arial" w:cs="Arial"/>
          <w:bCs/>
          <w:lang w:val="en-US"/>
        </w:rPr>
        <w:t>Acker</w:t>
      </w:r>
      <w:r w:rsidR="00520605" w:rsidRPr="00FF6387">
        <w:rPr>
          <w:rFonts w:ascii="Arial" w:hAnsi="Arial" w:cs="Arial"/>
          <w:bCs/>
          <w:vertAlign w:val="superscript"/>
          <w:lang w:val="en-US"/>
        </w:rPr>
        <w:t>1</w:t>
      </w:r>
      <w:r w:rsidR="003E5D3B" w:rsidRPr="00FF6387">
        <w:rPr>
          <w:rFonts w:ascii="Arial" w:hAnsi="Arial" w:cs="Arial"/>
          <w:bCs/>
          <w:vertAlign w:val="superscript"/>
          <w:lang w:val="en-US"/>
        </w:rPr>
        <w:t>,2,*</w:t>
      </w:r>
    </w:p>
    <w:p w14:paraId="134C9011" w14:textId="77777777" w:rsidR="009D0BC0" w:rsidRPr="00FF6387" w:rsidRDefault="009D0BC0" w:rsidP="003E5D3B">
      <w:pPr>
        <w:spacing w:after="0" w:line="240" w:lineRule="auto"/>
        <w:rPr>
          <w:rFonts w:ascii="Arial" w:hAnsi="Arial" w:cs="Arial"/>
          <w:bCs/>
          <w:lang w:val="en-US"/>
        </w:rPr>
      </w:pPr>
    </w:p>
    <w:p w14:paraId="737E43E4" w14:textId="6F426402" w:rsidR="00CF49D6" w:rsidRPr="009010E6" w:rsidRDefault="00CF49D6" w:rsidP="00CF49D6">
      <w:pPr>
        <w:spacing w:after="0" w:line="240" w:lineRule="auto"/>
        <w:jc w:val="both"/>
        <w:rPr>
          <w:rFonts w:ascii="Arial" w:hAnsi="Arial" w:cs="Arial"/>
          <w:lang/>
        </w:rPr>
      </w:pPr>
      <w:r w:rsidRPr="009010E6">
        <w:rPr>
          <w:rFonts w:ascii="Arial" w:hAnsi="Arial" w:cs="Arial"/>
          <w:vertAlign w:val="superscript"/>
          <w:lang/>
        </w:rPr>
        <w:t>1</w:t>
      </w:r>
      <w:r w:rsidRPr="009010E6">
        <w:rPr>
          <w:rFonts w:ascii="Arial" w:hAnsi="Arial" w:cs="Arial"/>
          <w:lang/>
        </w:rPr>
        <w:t xml:space="preserve">Institute of Neuropathology, </w:t>
      </w:r>
      <w:r w:rsidR="00012E1A" w:rsidRPr="009D0BC0">
        <w:rPr>
          <w:rFonts w:ascii="Arial" w:hAnsi="Arial" w:cs="Arial"/>
          <w:bCs/>
          <w:lang w:val="en-US"/>
        </w:rPr>
        <w:t>JLU Giessen, Germany</w:t>
      </w:r>
    </w:p>
    <w:p w14:paraId="022F9C53" w14:textId="55851ECD" w:rsidR="003E5D3B" w:rsidRPr="00FF6387" w:rsidRDefault="003E5D3B" w:rsidP="003E5D3B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FF6387">
        <w:rPr>
          <w:rFonts w:ascii="Arial" w:hAnsi="Arial" w:cs="Arial"/>
          <w:vertAlign w:val="superscript"/>
          <w:lang w:val="en-US"/>
        </w:rPr>
        <w:t>2</w:t>
      </w:r>
      <w:r w:rsidRPr="00FF6387">
        <w:rPr>
          <w:rFonts w:ascii="Arial" w:hAnsi="Arial" w:cs="Arial"/>
          <w:lang w:val="en-US"/>
        </w:rPr>
        <w:t xml:space="preserve">Translational Neuroscience Network Giessen, </w:t>
      </w:r>
      <w:r w:rsidR="00012E1A" w:rsidRPr="009D0BC0">
        <w:rPr>
          <w:rFonts w:ascii="Arial" w:hAnsi="Arial" w:cs="Arial"/>
          <w:bCs/>
          <w:lang w:val="en-US"/>
        </w:rPr>
        <w:t>JLU Giessen, Germany</w:t>
      </w:r>
    </w:p>
    <w:p w14:paraId="53034DFB" w14:textId="77777777" w:rsidR="00520605" w:rsidRPr="009D0BC0" w:rsidRDefault="00520605" w:rsidP="003E5D3B">
      <w:pPr>
        <w:spacing w:after="0" w:line="240" w:lineRule="auto"/>
        <w:rPr>
          <w:rFonts w:ascii="Arial" w:hAnsi="Arial" w:cs="Arial"/>
          <w:b/>
          <w:bCs/>
          <w:lang w:val="en-US"/>
        </w:rPr>
      </w:pPr>
    </w:p>
    <w:p w14:paraId="7D48178D" w14:textId="429829CB" w:rsidR="00520605" w:rsidRPr="003E5D3B" w:rsidRDefault="009D0BC0" w:rsidP="005873FF">
      <w:pPr>
        <w:spacing w:after="0" w:line="240" w:lineRule="auto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Hypoxia</w:t>
      </w:r>
      <w:r w:rsidR="00520605" w:rsidRPr="009D0BC0">
        <w:rPr>
          <w:rFonts w:ascii="Arial" w:hAnsi="Arial" w:cs="Arial"/>
          <w:bCs/>
          <w:lang w:val="en-GB"/>
        </w:rPr>
        <w:t xml:space="preserve"> is a common consequence of rapid tumour growth. </w:t>
      </w:r>
      <w:r>
        <w:rPr>
          <w:rFonts w:ascii="Arial" w:hAnsi="Arial" w:cs="Arial"/>
          <w:bCs/>
          <w:lang w:val="en-GB"/>
        </w:rPr>
        <w:t xml:space="preserve">It </w:t>
      </w:r>
      <w:r w:rsidR="00520605" w:rsidRPr="009D0BC0">
        <w:rPr>
          <w:rFonts w:ascii="Arial" w:hAnsi="Arial" w:cs="Arial"/>
          <w:bCs/>
          <w:lang w:val="en-GB"/>
        </w:rPr>
        <w:t xml:space="preserve">activates key hallmarks of cancer, including tumour cell plasticity, metabolic reprogramming, and proliferative signalling, which are closely linked to epigenetic processes. </w:t>
      </w:r>
      <w:r w:rsidR="00015551">
        <w:rPr>
          <w:rFonts w:ascii="Arial" w:hAnsi="Arial" w:cs="Arial"/>
          <w:bCs/>
          <w:lang w:val="en-GB"/>
        </w:rPr>
        <w:t>However</w:t>
      </w:r>
      <w:r w:rsidR="00520605" w:rsidRPr="009D0BC0">
        <w:rPr>
          <w:rFonts w:ascii="Arial" w:hAnsi="Arial" w:cs="Arial"/>
          <w:bCs/>
          <w:lang w:val="en-GB"/>
        </w:rPr>
        <w:t xml:space="preserve">, many details about the connection between hypoxia and epigenetic regulatory pathways </w:t>
      </w:r>
      <w:r w:rsidR="00015551">
        <w:rPr>
          <w:rFonts w:ascii="Arial" w:hAnsi="Arial" w:cs="Arial"/>
          <w:bCs/>
          <w:lang w:val="en-GB"/>
        </w:rPr>
        <w:t>are still</w:t>
      </w:r>
      <w:r w:rsidR="00015551" w:rsidRPr="009D0BC0">
        <w:rPr>
          <w:rFonts w:ascii="Arial" w:hAnsi="Arial" w:cs="Arial"/>
          <w:bCs/>
          <w:lang w:val="en-GB"/>
        </w:rPr>
        <w:t xml:space="preserve"> </w:t>
      </w:r>
      <w:r w:rsidR="00520605" w:rsidRPr="009D0BC0">
        <w:rPr>
          <w:rFonts w:ascii="Arial" w:hAnsi="Arial" w:cs="Arial"/>
          <w:bCs/>
          <w:lang w:val="en-GB"/>
        </w:rPr>
        <w:t>unknown.</w:t>
      </w:r>
      <w:r w:rsidR="00015551">
        <w:rPr>
          <w:rFonts w:ascii="Arial" w:hAnsi="Arial" w:cs="Arial"/>
          <w:lang w:val="en-GB"/>
        </w:rPr>
        <w:t xml:space="preserve"> </w:t>
      </w:r>
      <w:r w:rsidR="00520605" w:rsidRPr="009D0BC0">
        <w:rPr>
          <w:rFonts w:ascii="Arial" w:hAnsi="Arial" w:cs="Arial"/>
          <w:lang w:val="en-GB"/>
        </w:rPr>
        <w:t xml:space="preserve">A loss-of-function screening study of histone methyltransferases and histone demethylases </w:t>
      </w:r>
      <w:r w:rsidR="00015551" w:rsidRPr="00015551">
        <w:rPr>
          <w:rFonts w:ascii="Arial" w:hAnsi="Arial" w:cs="Arial"/>
          <w:lang w:val="en-GB"/>
        </w:rPr>
        <w:t xml:space="preserve">in our laboratory </w:t>
      </w:r>
      <w:r w:rsidR="00A14E39">
        <w:rPr>
          <w:rFonts w:ascii="Arial" w:hAnsi="Arial" w:cs="Arial"/>
          <w:lang w:val="en-GB"/>
        </w:rPr>
        <w:t>uncovered</w:t>
      </w:r>
      <w:r w:rsidR="00A14E39" w:rsidRPr="009D0BC0">
        <w:rPr>
          <w:rFonts w:ascii="Arial" w:hAnsi="Arial" w:cs="Arial"/>
          <w:lang w:val="en-GB"/>
        </w:rPr>
        <w:t xml:space="preserve"> </w:t>
      </w:r>
      <w:r w:rsidR="00520605" w:rsidRPr="009D0BC0">
        <w:rPr>
          <w:rFonts w:ascii="Arial" w:hAnsi="Arial" w:cs="Arial"/>
          <w:lang w:val="en-GB"/>
        </w:rPr>
        <w:t>a</w:t>
      </w:r>
      <w:r w:rsidR="00015551">
        <w:rPr>
          <w:rFonts w:ascii="Arial" w:hAnsi="Arial" w:cs="Arial"/>
          <w:lang w:val="en-GB"/>
        </w:rPr>
        <w:t xml:space="preserve">n </w:t>
      </w:r>
      <w:r w:rsidR="00520605" w:rsidRPr="009D0BC0">
        <w:rPr>
          <w:rFonts w:ascii="Arial" w:hAnsi="Arial" w:cs="Arial"/>
          <w:lang w:val="en-GB"/>
        </w:rPr>
        <w:t xml:space="preserve">enhancer of </w:t>
      </w:r>
      <w:proofErr w:type="spellStart"/>
      <w:r w:rsidR="00520605" w:rsidRPr="009D0BC0">
        <w:rPr>
          <w:rFonts w:ascii="Arial" w:hAnsi="Arial" w:cs="Arial"/>
          <w:lang w:val="en-GB"/>
        </w:rPr>
        <w:t>zeste</w:t>
      </w:r>
      <w:proofErr w:type="spellEnd"/>
      <w:r w:rsidR="00520605" w:rsidRPr="009D0BC0">
        <w:rPr>
          <w:rFonts w:ascii="Arial" w:hAnsi="Arial" w:cs="Arial"/>
          <w:lang w:val="en-GB"/>
        </w:rPr>
        <w:t xml:space="preserve"> homolog 2 (EZH2) </w:t>
      </w:r>
      <w:r w:rsidR="00845AD3">
        <w:rPr>
          <w:rFonts w:ascii="Arial" w:hAnsi="Arial" w:cs="Arial"/>
          <w:lang w:val="en-GB"/>
        </w:rPr>
        <w:t>dependent regulation of</w:t>
      </w:r>
      <w:r w:rsidR="00845AD3" w:rsidRPr="009D0BC0">
        <w:rPr>
          <w:rFonts w:ascii="Arial" w:hAnsi="Arial" w:cs="Arial"/>
          <w:lang w:val="en-GB"/>
        </w:rPr>
        <w:t xml:space="preserve"> </w:t>
      </w:r>
      <w:r w:rsidR="00520605" w:rsidRPr="009D0BC0">
        <w:rPr>
          <w:rFonts w:ascii="Arial" w:hAnsi="Arial" w:cs="Arial"/>
          <w:lang w:val="en-GB"/>
        </w:rPr>
        <w:t xml:space="preserve">hypoxia-inducible factor-2 alpha (HIF2α). </w:t>
      </w:r>
      <w:r w:rsidR="00E04C23" w:rsidRPr="00E04C23">
        <w:rPr>
          <w:rFonts w:ascii="Arial" w:hAnsi="Arial" w:cs="Arial"/>
          <w:lang w:val="en-GB"/>
        </w:rPr>
        <w:t>The analysis of several breast, lung</w:t>
      </w:r>
      <w:r w:rsidR="005873FF">
        <w:rPr>
          <w:rFonts w:ascii="Arial" w:hAnsi="Arial" w:cs="Arial"/>
          <w:lang w:val="en-GB"/>
        </w:rPr>
        <w:t>,</w:t>
      </w:r>
      <w:bookmarkStart w:id="0" w:name="_GoBack"/>
      <w:bookmarkEnd w:id="0"/>
      <w:r w:rsidR="00E04C23" w:rsidRPr="00E04C23">
        <w:rPr>
          <w:rFonts w:ascii="Arial" w:hAnsi="Arial" w:cs="Arial"/>
          <w:lang w:val="en-GB"/>
        </w:rPr>
        <w:t xml:space="preserve"> and glioma cancer cell lines indicated that this regulation is not generally present in all tumour cell types.</w:t>
      </w:r>
      <w:r w:rsidR="00E04C23" w:rsidRPr="00E04C23" w:rsidDel="006D016E">
        <w:rPr>
          <w:rFonts w:ascii="Arial" w:hAnsi="Arial" w:cs="Arial"/>
          <w:lang w:val="en-GB"/>
        </w:rPr>
        <w:t xml:space="preserve"> </w:t>
      </w:r>
      <w:r w:rsidR="00A14E39">
        <w:rPr>
          <w:rFonts w:ascii="Arial" w:hAnsi="Arial" w:cs="Arial"/>
          <w:bCs/>
          <w:lang w:val="en-GB"/>
        </w:rPr>
        <w:t>Investigation</w:t>
      </w:r>
      <w:r w:rsidR="006D016E">
        <w:rPr>
          <w:rFonts w:ascii="Arial" w:hAnsi="Arial" w:cs="Arial"/>
          <w:bCs/>
          <w:lang w:val="en-GB"/>
        </w:rPr>
        <w:t xml:space="preserve"> of the molecular mechanisms </w:t>
      </w:r>
      <w:r w:rsidR="00A14E39">
        <w:rPr>
          <w:rFonts w:ascii="Arial" w:hAnsi="Arial" w:cs="Arial"/>
          <w:bCs/>
          <w:lang w:val="en-GB"/>
        </w:rPr>
        <w:t>reveal</w:t>
      </w:r>
      <w:r w:rsidR="006D016E">
        <w:rPr>
          <w:rFonts w:ascii="Arial" w:hAnsi="Arial" w:cs="Arial"/>
          <w:bCs/>
          <w:lang w:val="en-GB"/>
        </w:rPr>
        <w:t xml:space="preserve">ed that </w:t>
      </w:r>
      <w:r w:rsidR="00520605" w:rsidRPr="009D0BC0">
        <w:rPr>
          <w:rFonts w:ascii="Arial" w:hAnsi="Arial" w:cs="Arial"/>
          <w:bCs/>
          <w:lang w:val="en-GB"/>
        </w:rPr>
        <w:t>EZH2 knockdown in breast cancer cells</w:t>
      </w:r>
      <w:r w:rsidR="006D016E">
        <w:rPr>
          <w:rFonts w:ascii="Arial" w:hAnsi="Arial" w:cs="Arial"/>
          <w:bCs/>
          <w:lang w:val="en-GB"/>
        </w:rPr>
        <w:t xml:space="preserve"> leads to reduced</w:t>
      </w:r>
      <w:r w:rsidR="006D016E" w:rsidRPr="009D0BC0">
        <w:rPr>
          <w:rFonts w:ascii="Arial" w:hAnsi="Arial" w:cs="Arial"/>
          <w:bCs/>
          <w:lang w:val="en-GB"/>
        </w:rPr>
        <w:t xml:space="preserve"> </w:t>
      </w:r>
      <w:r w:rsidR="005873FF" w:rsidRPr="009D0BC0">
        <w:rPr>
          <w:rFonts w:ascii="Arial" w:hAnsi="Arial" w:cs="Arial"/>
          <w:bCs/>
          <w:lang w:val="en-GB"/>
        </w:rPr>
        <w:t>HIF2α</w:t>
      </w:r>
      <w:r w:rsidR="005873FF" w:rsidRPr="009D0BC0">
        <w:rPr>
          <w:rFonts w:ascii="Arial" w:hAnsi="Arial" w:cs="Arial"/>
          <w:bCs/>
          <w:lang w:val="en-GB"/>
        </w:rPr>
        <w:t xml:space="preserve"> </w:t>
      </w:r>
      <w:r w:rsidR="00520605" w:rsidRPr="009D0BC0">
        <w:rPr>
          <w:rFonts w:ascii="Arial" w:hAnsi="Arial" w:cs="Arial"/>
          <w:bCs/>
          <w:lang w:val="en-GB"/>
        </w:rPr>
        <w:t xml:space="preserve">mRNA </w:t>
      </w:r>
      <w:r w:rsidR="00A14E39">
        <w:rPr>
          <w:rFonts w:ascii="Arial" w:hAnsi="Arial" w:cs="Arial"/>
          <w:bCs/>
          <w:lang w:val="en-GB"/>
        </w:rPr>
        <w:t xml:space="preserve">and protein </w:t>
      </w:r>
      <w:r w:rsidR="00520605" w:rsidRPr="009D0BC0">
        <w:rPr>
          <w:rFonts w:ascii="Arial" w:hAnsi="Arial" w:cs="Arial"/>
          <w:bCs/>
          <w:lang w:val="en-GB"/>
        </w:rPr>
        <w:t>levels</w:t>
      </w:r>
      <w:r w:rsidR="00A14E39">
        <w:rPr>
          <w:rFonts w:ascii="Arial" w:hAnsi="Arial" w:cs="Arial"/>
          <w:bCs/>
          <w:lang w:val="en-GB"/>
        </w:rPr>
        <w:t>, reduced mRNA levels of selected HIF-target genes,</w:t>
      </w:r>
      <w:r w:rsidR="00A14E39" w:rsidRPr="009D0BC0">
        <w:rPr>
          <w:rFonts w:ascii="Arial" w:hAnsi="Arial" w:cs="Arial"/>
          <w:bCs/>
          <w:lang w:val="en-GB"/>
        </w:rPr>
        <w:t xml:space="preserve"> </w:t>
      </w:r>
      <w:r w:rsidR="006D016E">
        <w:rPr>
          <w:rFonts w:ascii="Arial" w:hAnsi="Arial" w:cs="Arial"/>
          <w:bCs/>
          <w:lang w:val="en-GB"/>
        </w:rPr>
        <w:t>and the</w:t>
      </w:r>
      <w:r w:rsidR="00520605" w:rsidRPr="009D0BC0">
        <w:rPr>
          <w:rFonts w:ascii="Arial" w:hAnsi="Arial" w:cs="Arial"/>
          <w:bCs/>
          <w:lang w:val="en-GB"/>
        </w:rPr>
        <w:t xml:space="preserve"> </w:t>
      </w:r>
      <w:r w:rsidR="006D016E">
        <w:rPr>
          <w:rFonts w:ascii="Arial" w:hAnsi="Arial" w:cs="Arial"/>
          <w:bCs/>
          <w:lang w:val="en-GB"/>
        </w:rPr>
        <w:t xml:space="preserve">regulation is </w:t>
      </w:r>
      <w:r w:rsidR="00520605" w:rsidRPr="009D0BC0">
        <w:rPr>
          <w:rFonts w:ascii="Arial" w:hAnsi="Arial" w:cs="Arial"/>
          <w:bCs/>
          <w:lang w:val="en-GB"/>
        </w:rPr>
        <w:t xml:space="preserve">independent of the PRC2 complex and </w:t>
      </w:r>
      <w:r w:rsidR="006D016E">
        <w:rPr>
          <w:rFonts w:ascii="Arial" w:hAnsi="Arial" w:cs="Arial"/>
          <w:bCs/>
          <w:lang w:val="en-GB"/>
        </w:rPr>
        <w:t>the</w:t>
      </w:r>
      <w:r w:rsidR="00520605" w:rsidRPr="009D0BC0">
        <w:rPr>
          <w:rFonts w:ascii="Arial" w:hAnsi="Arial" w:cs="Arial"/>
          <w:bCs/>
          <w:lang w:val="en-GB"/>
        </w:rPr>
        <w:t xml:space="preserve"> enzymatic function</w:t>
      </w:r>
      <w:r w:rsidR="006D016E">
        <w:rPr>
          <w:rFonts w:ascii="Arial" w:hAnsi="Arial" w:cs="Arial"/>
          <w:bCs/>
          <w:lang w:val="en-GB"/>
        </w:rPr>
        <w:t xml:space="preserve"> </w:t>
      </w:r>
      <w:r w:rsidR="00727FAA">
        <w:rPr>
          <w:rFonts w:ascii="Arial" w:hAnsi="Arial" w:cs="Arial"/>
          <w:bCs/>
          <w:lang w:val="en-GB"/>
        </w:rPr>
        <w:t xml:space="preserve">of </w:t>
      </w:r>
      <w:r w:rsidR="006D016E">
        <w:rPr>
          <w:rFonts w:ascii="Arial" w:hAnsi="Arial" w:cs="Arial"/>
          <w:bCs/>
          <w:lang w:val="en-GB"/>
        </w:rPr>
        <w:t>EZH2</w:t>
      </w:r>
      <w:r w:rsidR="00520605" w:rsidRPr="009D0BC0">
        <w:rPr>
          <w:rFonts w:ascii="Arial" w:hAnsi="Arial" w:cs="Arial"/>
          <w:bCs/>
          <w:lang w:val="en-GB"/>
        </w:rPr>
        <w:t xml:space="preserve">. </w:t>
      </w:r>
      <w:r w:rsidR="00A14E39" w:rsidRPr="00A14E39">
        <w:rPr>
          <w:rFonts w:ascii="Arial" w:hAnsi="Arial" w:cs="Arial"/>
          <w:bCs/>
          <w:lang w:val="en-GB"/>
        </w:rPr>
        <w:t xml:space="preserve">In addition, </w:t>
      </w:r>
      <w:proofErr w:type="spellStart"/>
      <w:r w:rsidR="00A14E39" w:rsidRPr="00A14E39">
        <w:rPr>
          <w:rFonts w:ascii="Arial" w:hAnsi="Arial" w:cs="Arial"/>
          <w:bCs/>
          <w:lang w:val="en-GB"/>
        </w:rPr>
        <w:t>ChIP</w:t>
      </w:r>
      <w:proofErr w:type="spellEnd"/>
      <w:r w:rsidR="00A14E39" w:rsidRPr="00A14E39">
        <w:rPr>
          <w:rFonts w:ascii="Arial" w:hAnsi="Arial" w:cs="Arial"/>
          <w:bCs/>
          <w:lang w:val="en-GB"/>
        </w:rPr>
        <w:t>-qPCR results indicated binding of EZH2 to the EPAS1 (HIF2A) gene promoter, suggesting a direct gene regulatory mechanism.</w:t>
      </w:r>
      <w:r w:rsidR="00A14E39">
        <w:rPr>
          <w:rFonts w:ascii="Arial" w:hAnsi="Arial" w:cs="Arial"/>
          <w:bCs/>
          <w:lang w:val="en-GB"/>
        </w:rPr>
        <w:t xml:space="preserve"> Further</w:t>
      </w:r>
      <w:r w:rsidR="00727FAA">
        <w:rPr>
          <w:rFonts w:ascii="Arial" w:hAnsi="Arial" w:cs="Arial"/>
          <w:bCs/>
          <w:lang w:val="en-GB"/>
        </w:rPr>
        <w:t>more,</w:t>
      </w:r>
      <w:r w:rsidR="00A14E39">
        <w:rPr>
          <w:rFonts w:ascii="Arial" w:hAnsi="Arial" w:cs="Arial"/>
          <w:bCs/>
          <w:lang w:val="en-GB"/>
        </w:rPr>
        <w:t xml:space="preserve"> time-course experiments </w:t>
      </w:r>
      <w:r w:rsidR="00727FAA">
        <w:rPr>
          <w:rFonts w:ascii="Arial" w:hAnsi="Arial" w:cs="Arial"/>
          <w:bCs/>
          <w:lang w:val="en-GB"/>
        </w:rPr>
        <w:t>implicate a role for EZH2 in the maintenance of the chronic hypoxia response after the acute-to-chronic phase switch. Collectively, o</w:t>
      </w:r>
      <w:r w:rsidR="00520605" w:rsidRPr="009D0BC0">
        <w:rPr>
          <w:rFonts w:ascii="Arial" w:hAnsi="Arial" w:cs="Arial"/>
          <w:bCs/>
          <w:lang w:val="en-GB"/>
        </w:rPr>
        <w:t xml:space="preserve">ur data </w:t>
      </w:r>
      <w:r w:rsidR="00727FAA">
        <w:rPr>
          <w:rFonts w:ascii="Arial" w:hAnsi="Arial" w:cs="Arial"/>
          <w:bCs/>
          <w:lang w:val="en-GB"/>
        </w:rPr>
        <w:t>establish</w:t>
      </w:r>
      <w:r w:rsidR="00727FAA" w:rsidRPr="009D0BC0">
        <w:rPr>
          <w:rFonts w:ascii="Arial" w:hAnsi="Arial" w:cs="Arial"/>
          <w:bCs/>
          <w:lang w:val="en-GB"/>
        </w:rPr>
        <w:t xml:space="preserve"> </w:t>
      </w:r>
      <w:r w:rsidR="00520605" w:rsidRPr="009D0BC0">
        <w:rPr>
          <w:rFonts w:ascii="Arial" w:hAnsi="Arial" w:cs="Arial"/>
          <w:bCs/>
          <w:lang w:val="en-GB"/>
        </w:rPr>
        <w:t xml:space="preserve">a novel regulatory link between EZH2 and HIF2α, and the non-enzymatic function of EZH2 may be considered as a </w:t>
      </w:r>
      <w:r w:rsidR="00342867" w:rsidRPr="009D0BC0">
        <w:rPr>
          <w:rFonts w:ascii="Arial" w:hAnsi="Arial" w:cs="Arial"/>
          <w:bCs/>
          <w:lang w:val="en-GB"/>
        </w:rPr>
        <w:t>po</w:t>
      </w:r>
      <w:r w:rsidR="00342867">
        <w:rPr>
          <w:rFonts w:ascii="Arial" w:hAnsi="Arial" w:cs="Arial"/>
          <w:bCs/>
          <w:lang w:val="en-GB"/>
        </w:rPr>
        <w:t>tential</w:t>
      </w:r>
      <w:r w:rsidR="00342867" w:rsidRPr="009D0BC0">
        <w:rPr>
          <w:rFonts w:ascii="Arial" w:hAnsi="Arial" w:cs="Arial"/>
          <w:bCs/>
          <w:lang w:val="en-GB"/>
        </w:rPr>
        <w:t xml:space="preserve"> </w:t>
      </w:r>
      <w:r w:rsidR="00520605" w:rsidRPr="009D0BC0">
        <w:rPr>
          <w:rFonts w:ascii="Arial" w:hAnsi="Arial" w:cs="Arial"/>
          <w:bCs/>
          <w:lang w:val="en-GB"/>
        </w:rPr>
        <w:t>new target for cancer therapy</w:t>
      </w:r>
      <w:r w:rsidR="00727FAA">
        <w:rPr>
          <w:rFonts w:ascii="Arial" w:hAnsi="Arial" w:cs="Arial"/>
          <w:bCs/>
          <w:lang w:val="en-GB"/>
        </w:rPr>
        <w:t xml:space="preserve"> in specific cancer settings</w:t>
      </w:r>
      <w:r w:rsidR="00520605" w:rsidRPr="009D0BC0">
        <w:rPr>
          <w:rFonts w:ascii="Arial" w:hAnsi="Arial" w:cs="Arial"/>
          <w:bCs/>
          <w:lang w:val="en-GB"/>
        </w:rPr>
        <w:t>.</w:t>
      </w:r>
    </w:p>
    <w:sectPr w:rsidR="00520605" w:rsidRPr="003E5D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77826"/>
    <w:multiLevelType w:val="multilevel"/>
    <w:tmpl w:val="4DA0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05"/>
    <w:rsid w:val="00012E1A"/>
    <w:rsid w:val="00015551"/>
    <w:rsid w:val="00102C26"/>
    <w:rsid w:val="00342867"/>
    <w:rsid w:val="003E5D3B"/>
    <w:rsid w:val="00444A63"/>
    <w:rsid w:val="00520605"/>
    <w:rsid w:val="005873FF"/>
    <w:rsid w:val="00613D1C"/>
    <w:rsid w:val="00632A7B"/>
    <w:rsid w:val="006D016E"/>
    <w:rsid w:val="00727FAA"/>
    <w:rsid w:val="007F2DE8"/>
    <w:rsid w:val="00845AD3"/>
    <w:rsid w:val="00916C11"/>
    <w:rsid w:val="009D0BC0"/>
    <w:rsid w:val="00A14E39"/>
    <w:rsid w:val="00A82AAF"/>
    <w:rsid w:val="00C3570D"/>
    <w:rsid w:val="00CF49D6"/>
    <w:rsid w:val="00E04C23"/>
    <w:rsid w:val="00F6015E"/>
    <w:rsid w:val="00FF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06D65"/>
  <w15:chartTrackingRefBased/>
  <w15:docId w15:val="{F04777C9-9AD5-4FE2-A634-E195E8CC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520605"/>
    <w:rPr>
      <w:vertAlign w:val="superscript"/>
    </w:rPr>
  </w:style>
  <w:style w:type="paragraph" w:styleId="Revision">
    <w:name w:val="Revision"/>
    <w:hidden/>
    <w:uiPriority w:val="99"/>
    <w:semiHidden/>
    <w:rsid w:val="000155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13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Salisa Kruijning</dc:creator>
  <cp:keywords/>
  <dc:description/>
  <cp:lastModifiedBy>Salisa Kruijning</cp:lastModifiedBy>
  <cp:revision>2</cp:revision>
  <dcterms:created xsi:type="dcterms:W3CDTF">2024-04-04T14:53:00Z</dcterms:created>
  <dcterms:modified xsi:type="dcterms:W3CDTF">2024-04-04T14:53:00Z</dcterms:modified>
</cp:coreProperties>
</file>