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25928" w14:textId="5DC8E8BA" w:rsidR="00052507" w:rsidRPr="00CD15B2" w:rsidRDefault="008950F0" w:rsidP="00052507">
      <w:pPr>
        <w:pStyle w:val="NormalWeb"/>
        <w:rPr>
          <w:rFonts w:ascii="Arial" w:hAnsi="Arial" w:cs="Arial"/>
          <w:color w:val="000000" w:themeColor="text1"/>
          <w:sz w:val="22"/>
          <w:szCs w:val="22"/>
        </w:rPr>
      </w:pPr>
      <w:r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Maturation of </w:t>
      </w:r>
      <w:r w:rsidR="00483791"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the </w:t>
      </w:r>
      <w:r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Carotid Body Transcriptome in </w:t>
      </w:r>
      <w:proofErr w:type="spellStart"/>
      <w:r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>Fetal</w:t>
      </w:r>
      <w:proofErr w:type="spellEnd"/>
      <w:r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 Postnatal Life</w:t>
      </w:r>
    </w:p>
    <w:p w14:paraId="1F72FA92" w14:textId="0CD16E97" w:rsidR="00052507" w:rsidRPr="00CD15B2" w:rsidRDefault="00052507" w:rsidP="00052507">
      <w:pPr>
        <w:pStyle w:val="NormalWeb"/>
        <w:rPr>
          <w:rFonts w:ascii="Arial" w:hAnsi="Arial" w:cs="Arial"/>
          <w:color w:val="000000" w:themeColor="text1"/>
          <w:sz w:val="22"/>
          <w:szCs w:val="22"/>
          <w:vertAlign w:val="superscript"/>
        </w:rPr>
      </w:pP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Emma </w:t>
      </w:r>
      <w:r w:rsidR="00B827F0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J. 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Hodson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1,2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Yoichiro</w:t>
      </w:r>
      <w:proofErr w:type="spellEnd"/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Sugimoto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1,3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r w:rsidR="00483791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Rahul Manamperige</w:t>
      </w:r>
      <w:r w:rsidR="00483791" w:rsidRPr="00CD15B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483791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Sage </w:t>
      </w:r>
      <w:r w:rsidR="00B827F0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G. 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Ford</w:t>
      </w:r>
      <w:r w:rsidR="00B851CB" w:rsidRPr="00CD15B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, Kim</w:t>
      </w:r>
      <w:r w:rsidR="00B827F0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berley J.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Botti</w:t>
      </w:r>
      <w:r w:rsidR="00B851CB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ng</w:t>
      </w:r>
      <w:r w:rsidR="00B851CB" w:rsidRPr="00CD15B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Youguo</w:t>
      </w:r>
      <w:proofErr w:type="spellEnd"/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Niu</w:t>
      </w:r>
      <w:r w:rsidR="00B851CB" w:rsidRPr="00CD15B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="00405FCB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Dino </w:t>
      </w:r>
      <w:r w:rsidR="00B827F0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A. 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Giussani</w:t>
      </w:r>
      <w:r w:rsidR="00B851CB" w:rsidRPr="00CD15B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Peter </w:t>
      </w:r>
      <w:r w:rsidR="00B827F0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J. 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Ratcliffe</w:t>
      </w: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1</w:t>
      </w:r>
      <w:r w:rsidR="00B851CB" w:rsidRPr="00CD15B2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,4</w:t>
      </w:r>
    </w:p>
    <w:p w14:paraId="19037EDF" w14:textId="445E9A09" w:rsidR="00052507" w:rsidRPr="00CD15B2" w:rsidRDefault="00052507" w:rsidP="00052507">
      <w:pPr>
        <w:pStyle w:val="NormalWeb"/>
        <w:rPr>
          <w:rFonts w:ascii="Arial" w:hAnsi="Arial" w:cs="Arial"/>
          <w:color w:val="000000" w:themeColor="text1"/>
          <w:sz w:val="22"/>
          <w:szCs w:val="22"/>
        </w:rPr>
      </w:pPr>
      <w:r w:rsidRPr="00CD15B2">
        <w:rPr>
          <w:rFonts w:ascii="Arial" w:hAnsi="Arial" w:cs="Arial"/>
          <w:color w:val="000000" w:themeColor="text1"/>
          <w:sz w:val="22"/>
          <w:szCs w:val="22"/>
        </w:rPr>
        <w:t>1-The Francis Crick Institute, London, UK; 2-</w:t>
      </w:r>
      <w:r w:rsidR="00B851CB" w:rsidRPr="00CD15B2">
        <w:rPr>
          <w:rFonts w:ascii="Arial" w:hAnsi="Arial" w:cs="Arial"/>
          <w:color w:val="000000" w:themeColor="text1"/>
          <w:sz w:val="22"/>
          <w:szCs w:val="22"/>
        </w:rPr>
        <w:t xml:space="preserve">The University of Cambridge, Cambridge, United Kingdom; </w:t>
      </w:r>
      <w:r w:rsidRPr="00CD15B2">
        <w:rPr>
          <w:rFonts w:ascii="Arial" w:hAnsi="Arial" w:cs="Arial"/>
          <w:color w:val="000000" w:themeColor="text1"/>
          <w:sz w:val="22"/>
          <w:szCs w:val="22"/>
        </w:rPr>
        <w:t xml:space="preserve">3-Max </w:t>
      </w:r>
      <w:proofErr w:type="spellStart"/>
      <w:r w:rsidRPr="00CD15B2">
        <w:rPr>
          <w:rFonts w:ascii="Arial" w:hAnsi="Arial" w:cs="Arial"/>
          <w:color w:val="000000" w:themeColor="text1"/>
          <w:sz w:val="22"/>
          <w:szCs w:val="22"/>
        </w:rPr>
        <w:t>Delbrück</w:t>
      </w:r>
      <w:proofErr w:type="spellEnd"/>
      <w:r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D15B2">
        <w:rPr>
          <w:rFonts w:ascii="Arial" w:hAnsi="Arial" w:cs="Arial"/>
          <w:color w:val="000000" w:themeColor="text1"/>
          <w:sz w:val="22"/>
          <w:szCs w:val="22"/>
        </w:rPr>
        <w:t>Center</w:t>
      </w:r>
      <w:proofErr w:type="spellEnd"/>
      <w:r w:rsidRPr="00CD15B2">
        <w:rPr>
          <w:rFonts w:ascii="Arial" w:hAnsi="Arial" w:cs="Arial"/>
          <w:color w:val="000000" w:themeColor="text1"/>
          <w:sz w:val="22"/>
          <w:szCs w:val="22"/>
        </w:rPr>
        <w:t xml:space="preserve"> for Molecular Medicine, Berlin, Germany; 4- </w:t>
      </w:r>
      <w:r w:rsidR="00B851CB" w:rsidRPr="00CD15B2">
        <w:rPr>
          <w:rFonts w:ascii="Arial" w:hAnsi="Arial" w:cs="Arial"/>
          <w:color w:val="000000" w:themeColor="text1"/>
          <w:sz w:val="22"/>
          <w:szCs w:val="22"/>
        </w:rPr>
        <w:t>The</w:t>
      </w:r>
      <w:r w:rsidRPr="00CD15B2">
        <w:rPr>
          <w:rFonts w:ascii="Arial" w:hAnsi="Arial" w:cs="Arial"/>
          <w:color w:val="000000" w:themeColor="text1"/>
          <w:sz w:val="22"/>
          <w:szCs w:val="22"/>
        </w:rPr>
        <w:t xml:space="preserve"> University of Oxford, </w:t>
      </w:r>
      <w:r w:rsidR="00B851CB" w:rsidRPr="00CD15B2">
        <w:rPr>
          <w:rFonts w:ascii="Arial" w:hAnsi="Arial" w:cs="Arial"/>
          <w:color w:val="000000" w:themeColor="text1"/>
          <w:sz w:val="22"/>
          <w:szCs w:val="22"/>
        </w:rPr>
        <w:t>Oxford, United Kingdom</w:t>
      </w:r>
    </w:p>
    <w:p w14:paraId="2FAFA4D5" w14:textId="7206B800" w:rsidR="0068732F" w:rsidRPr="00CD15B2" w:rsidRDefault="00261676" w:rsidP="00167DDC">
      <w:pPr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>Introduction</w:t>
      </w:r>
      <w:r w:rsidR="004E0DAD"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167DDC"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>The carotid body</w:t>
      </w:r>
      <w:r w:rsidR="00B34E14" w:rsidRPr="00CD15B2">
        <w:rPr>
          <w:rFonts w:ascii="Arial" w:hAnsi="Arial" w:cs="Arial"/>
          <w:color w:val="000000" w:themeColor="text1"/>
          <w:sz w:val="22"/>
          <w:szCs w:val="22"/>
        </w:rPr>
        <w:t xml:space="preserve"> (CB)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 is an arterial chemoreceptor that mediates rapid cardiovascular and respiratory reflexes to hypoxi</w:t>
      </w:r>
      <w:r w:rsidR="00F264B1" w:rsidRPr="00CD15B2">
        <w:rPr>
          <w:rFonts w:ascii="Arial" w:hAnsi="Arial" w:cs="Arial"/>
          <w:color w:val="000000" w:themeColor="text1"/>
          <w:sz w:val="22"/>
          <w:szCs w:val="22"/>
        </w:rPr>
        <w:t>a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. These reflexes mature </w:t>
      </w:r>
      <w:r w:rsidR="009F2B1D" w:rsidRPr="00CD15B2">
        <w:rPr>
          <w:rFonts w:ascii="Arial" w:hAnsi="Arial" w:cs="Arial"/>
          <w:color w:val="000000" w:themeColor="text1"/>
          <w:sz w:val="22"/>
          <w:szCs w:val="22"/>
        </w:rPr>
        <w:t>perinatally and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 are </w:t>
      </w:r>
      <w:r w:rsidR="00F82D7C" w:rsidRPr="00CD15B2">
        <w:rPr>
          <w:rFonts w:ascii="Arial" w:hAnsi="Arial" w:cs="Arial"/>
          <w:color w:val="000000" w:themeColor="text1"/>
          <w:sz w:val="22"/>
          <w:szCs w:val="22"/>
        </w:rPr>
        <w:t>vital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 for </w:t>
      </w:r>
      <w:proofErr w:type="spellStart"/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>fetal</w:t>
      </w:r>
      <w:proofErr w:type="spellEnd"/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 hypoxia tolerance </w:t>
      </w:r>
      <w:r w:rsidR="00314441" w:rsidRPr="00CD15B2">
        <w:rPr>
          <w:rFonts w:ascii="Arial" w:hAnsi="Arial" w:cs="Arial"/>
          <w:color w:val="000000" w:themeColor="text1"/>
          <w:sz w:val="22"/>
          <w:szCs w:val="22"/>
        </w:rPr>
        <w:t>(</w:t>
      </w:r>
      <w:r w:rsidR="00314441" w:rsidRPr="00CD15B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Giussani. </w:t>
      </w:r>
      <w:r w:rsidR="00314441" w:rsidRPr="00CD15B2"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FFFFF"/>
        </w:rPr>
        <w:t>J Physiol</w:t>
      </w:r>
      <w:r w:rsidR="00314441" w:rsidRPr="00CD15B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2016; 594(5):1215-30) 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and establishing stable ventilatory control </w:t>
      </w:r>
      <w:r w:rsidR="00B03E88" w:rsidRPr="00CD15B2">
        <w:rPr>
          <w:rFonts w:ascii="Arial" w:hAnsi="Arial" w:cs="Arial"/>
          <w:color w:val="000000" w:themeColor="text1"/>
          <w:sz w:val="22"/>
          <w:szCs w:val="22"/>
        </w:rPr>
        <w:t>after birth</w:t>
      </w:r>
      <w:r w:rsidR="00314441" w:rsidRPr="00CD15B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</w:t>
      </w:r>
      <w:proofErr w:type="spellStart"/>
      <w:r w:rsidR="00A821F2" w:rsidRPr="00CD15B2">
        <w:rPr>
          <w:rFonts w:ascii="Arial" w:hAnsi="Arial" w:cs="Arial"/>
          <w:color w:val="000000" w:themeColor="text1"/>
          <w:sz w:val="22"/>
          <w:szCs w:val="22"/>
        </w:rPr>
        <w:t>Donelly</w:t>
      </w:r>
      <w:proofErr w:type="spellEnd"/>
      <w:r w:rsidR="00A821F2" w:rsidRPr="00CD15B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A821F2" w:rsidRPr="00CD15B2"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J </w:t>
      </w:r>
      <w:proofErr w:type="spellStart"/>
      <w:r w:rsidR="00A821F2" w:rsidRPr="00CD15B2"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Appl</w:t>
      </w:r>
      <w:proofErr w:type="spellEnd"/>
      <w:r w:rsidR="00A821F2" w:rsidRPr="00CD15B2"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Physiol</w:t>
      </w:r>
      <w:r w:rsidR="00A821F2" w:rsidRPr="00CD15B2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. </w:t>
      </w:r>
      <w:r w:rsidR="00A821F2" w:rsidRPr="00CD15B2">
        <w:rPr>
          <w:rFonts w:ascii="Arial" w:eastAsia="Times New Roman" w:hAnsi="Arial" w:cs="Arial"/>
          <w:color w:val="000000" w:themeColor="text1"/>
          <w:kern w:val="0"/>
          <w:sz w:val="22"/>
          <w:szCs w:val="22"/>
          <w:shd w:val="clear" w:color="auto" w:fill="FFFFFF"/>
          <w:lang w:eastAsia="en-GB"/>
          <w14:ligatures w14:val="none"/>
        </w:rPr>
        <w:t>2000;88(6):2296-2301</w:t>
      </w:r>
      <w:r w:rsidR="00B827F0" w:rsidRPr="00CD15B2">
        <w:rPr>
          <w:rFonts w:ascii="Arial" w:hAnsi="Arial" w:cs="Arial"/>
          <w:color w:val="000000" w:themeColor="text1"/>
          <w:sz w:val="22"/>
          <w:szCs w:val="22"/>
        </w:rPr>
        <w:t>)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. This maturation is associated with a progressive </w:t>
      </w:r>
      <w:r w:rsidR="00115BC5" w:rsidRPr="00CD15B2">
        <w:rPr>
          <w:rFonts w:ascii="Arial" w:hAnsi="Arial" w:cs="Arial"/>
          <w:color w:val="000000" w:themeColor="text1"/>
          <w:sz w:val="22"/>
          <w:szCs w:val="22"/>
        </w:rPr>
        <w:t>gain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r w:rsidR="00115BC5" w:rsidRPr="00CD15B2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>electrophysiological response</w:t>
      </w:r>
      <w:r w:rsidR="00115BC5" w:rsidRPr="00CD15B2">
        <w:rPr>
          <w:rFonts w:ascii="Arial" w:hAnsi="Arial" w:cs="Arial"/>
          <w:color w:val="000000" w:themeColor="text1"/>
          <w:sz w:val="22"/>
          <w:szCs w:val="22"/>
        </w:rPr>
        <w:t xml:space="preserve"> of CB cells to hypoxia</w:t>
      </w:r>
      <w:r w:rsidR="00CA2CEB" w:rsidRPr="00CD15B2">
        <w:rPr>
          <w:rFonts w:ascii="Arial" w:hAnsi="Arial" w:cs="Arial"/>
          <w:color w:val="000000" w:themeColor="text1"/>
          <w:sz w:val="22"/>
          <w:szCs w:val="22"/>
        </w:rPr>
        <w:t xml:space="preserve"> (Blanco et al. </w:t>
      </w:r>
      <w:r w:rsidR="00CA2CEB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J. Physiol</w:t>
      </w:r>
      <w:r w:rsidR="00CA2CEB" w:rsidRPr="00CD15B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gramStart"/>
      <w:r w:rsidR="00314441" w:rsidRPr="00CD15B2">
        <w:rPr>
          <w:rFonts w:ascii="Arial" w:hAnsi="Arial" w:cs="Arial"/>
          <w:color w:val="000000" w:themeColor="text1"/>
          <w:sz w:val="22"/>
          <w:szCs w:val="22"/>
        </w:rPr>
        <w:t>1</w:t>
      </w:r>
      <w:r w:rsidR="00CA2CEB" w:rsidRPr="00CD15B2">
        <w:rPr>
          <w:rFonts w:ascii="Arial" w:hAnsi="Arial" w:cs="Arial"/>
          <w:color w:val="000000" w:themeColor="text1"/>
          <w:sz w:val="22"/>
          <w:szCs w:val="22"/>
        </w:rPr>
        <w:t>984</w:t>
      </w:r>
      <w:r w:rsidR="00314441" w:rsidRPr="00CD15B2">
        <w:rPr>
          <w:rFonts w:ascii="Arial" w:hAnsi="Arial" w:cs="Arial"/>
          <w:color w:val="000000" w:themeColor="text1"/>
          <w:sz w:val="22"/>
          <w:szCs w:val="22"/>
        </w:rPr>
        <w:t>;</w:t>
      </w:r>
      <w:r w:rsidR="00CA2CEB" w:rsidRPr="00CD15B2">
        <w:rPr>
          <w:rFonts w:ascii="Arial" w:hAnsi="Arial" w:cs="Arial"/>
          <w:color w:val="000000" w:themeColor="text1"/>
          <w:sz w:val="22"/>
          <w:szCs w:val="22"/>
        </w:rPr>
        <w:t>351:25</w:t>
      </w:r>
      <w:proofErr w:type="gramEnd"/>
      <w:r w:rsidR="00CA2CEB" w:rsidRPr="00CD15B2">
        <w:rPr>
          <w:rFonts w:ascii="Arial" w:hAnsi="Arial" w:cs="Arial"/>
          <w:color w:val="000000" w:themeColor="text1"/>
          <w:sz w:val="22"/>
          <w:szCs w:val="22"/>
        </w:rPr>
        <w:t xml:space="preserve">-37; </w:t>
      </w:r>
      <w:proofErr w:type="spellStart"/>
      <w:r w:rsidR="00CA2CEB" w:rsidRPr="00CD15B2">
        <w:rPr>
          <w:rFonts w:ascii="Arial" w:hAnsi="Arial" w:cs="Arial"/>
          <w:color w:val="000000" w:themeColor="text1"/>
          <w:sz w:val="22"/>
          <w:szCs w:val="22"/>
        </w:rPr>
        <w:t>Wasicko</w:t>
      </w:r>
      <w:proofErr w:type="spellEnd"/>
      <w:r w:rsidR="00CA2CEB" w:rsidRPr="00CD15B2">
        <w:rPr>
          <w:rFonts w:ascii="Arial" w:hAnsi="Arial" w:cs="Arial"/>
          <w:color w:val="000000" w:themeColor="text1"/>
          <w:sz w:val="22"/>
          <w:szCs w:val="22"/>
        </w:rPr>
        <w:t xml:space="preserve"> et al. </w:t>
      </w:r>
      <w:r w:rsidR="00CA2CEB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J Physiol</w:t>
      </w:r>
      <w:r w:rsidR="00CA2CEB" w:rsidRPr="00CD15B2">
        <w:rPr>
          <w:rFonts w:ascii="Arial" w:hAnsi="Arial" w:cs="Arial"/>
          <w:color w:val="000000" w:themeColor="text1"/>
          <w:sz w:val="22"/>
          <w:szCs w:val="22"/>
        </w:rPr>
        <w:t>. 1999;514.2:493-503)</w:t>
      </w:r>
      <w:r w:rsidR="00115BC5" w:rsidRPr="00CD15B2">
        <w:rPr>
          <w:rFonts w:ascii="Arial" w:hAnsi="Arial" w:cs="Arial"/>
          <w:color w:val="000000" w:themeColor="text1"/>
          <w:sz w:val="22"/>
          <w:szCs w:val="22"/>
        </w:rPr>
        <w:t xml:space="preserve">: a </w:t>
      </w:r>
      <w:r w:rsidR="00E65CE3">
        <w:rPr>
          <w:rFonts w:ascii="Arial" w:hAnsi="Arial" w:cs="Arial"/>
          <w:color w:val="000000" w:themeColor="text1"/>
          <w:sz w:val="22"/>
          <w:szCs w:val="22"/>
        </w:rPr>
        <w:t>cellular property</w:t>
      </w:r>
      <w:r w:rsidR="00115BC5" w:rsidRPr="00CD15B2">
        <w:rPr>
          <w:rFonts w:ascii="Arial" w:hAnsi="Arial" w:cs="Arial"/>
          <w:color w:val="000000" w:themeColor="text1"/>
          <w:sz w:val="22"/>
          <w:szCs w:val="22"/>
        </w:rPr>
        <w:t xml:space="preserve"> that</w:t>
      </w:r>
      <w:r w:rsidR="00E439CD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>is poorly understood</w:t>
      </w:r>
      <w:r w:rsidR="001B379E">
        <w:rPr>
          <w:rFonts w:ascii="Arial" w:hAnsi="Arial" w:cs="Arial"/>
          <w:color w:val="000000" w:themeColor="text1"/>
          <w:sz w:val="22"/>
          <w:szCs w:val="22"/>
        </w:rPr>
        <w:t>,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 but critical to systemic oxygen homeostasis</w:t>
      </w:r>
      <w:r w:rsidR="00570743" w:rsidRPr="00CD15B2">
        <w:rPr>
          <w:rFonts w:ascii="Arial" w:hAnsi="Arial" w:cs="Arial"/>
          <w:color w:val="000000" w:themeColor="text1"/>
          <w:sz w:val="22"/>
          <w:szCs w:val="22"/>
        </w:rPr>
        <w:t>,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E55FCB" w:rsidRPr="00CD15B2">
        <w:rPr>
          <w:rFonts w:ascii="Arial" w:hAnsi="Arial" w:cs="Arial"/>
          <w:color w:val="000000" w:themeColor="text1"/>
          <w:sz w:val="22"/>
          <w:szCs w:val="22"/>
        </w:rPr>
        <w:t>CB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 dysfunction</w:t>
      </w:r>
      <w:r w:rsidR="00832AF8" w:rsidRPr="00CD15B2">
        <w:rPr>
          <w:rFonts w:ascii="Arial" w:hAnsi="Arial" w:cs="Arial"/>
          <w:color w:val="000000" w:themeColor="text1"/>
          <w:sz w:val="22"/>
          <w:szCs w:val="22"/>
        </w:rPr>
        <w:t xml:space="preserve"> is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 xml:space="preserve">also 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>implicated in sudden infant death syndrome</w:t>
      </w:r>
      <w:r w:rsidR="00E55FCB" w:rsidRPr="00CD15B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>heart failure and hypertension</w:t>
      </w:r>
      <w:r w:rsidR="00405FC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1C001F" w:rsidRPr="00CD15B2">
        <w:rPr>
          <w:rFonts w:ascii="Arial" w:hAnsi="Arial" w:cs="Arial"/>
          <w:color w:val="000000" w:themeColor="text1"/>
          <w:sz w:val="22"/>
          <w:szCs w:val="22"/>
        </w:rPr>
        <w:t xml:space="preserve">We hypothesized </w:t>
      </w:r>
      <w:r w:rsidR="002A5EDA" w:rsidRPr="00CD15B2">
        <w:rPr>
          <w:rFonts w:ascii="Arial" w:hAnsi="Arial" w:cs="Arial"/>
          <w:color w:val="000000" w:themeColor="text1"/>
          <w:sz w:val="22"/>
          <w:szCs w:val="22"/>
        </w:rPr>
        <w:t xml:space="preserve">that perinatal changes in </w:t>
      </w:r>
      <w:r w:rsidR="001E4220" w:rsidRPr="00CD15B2">
        <w:rPr>
          <w:rFonts w:ascii="Arial" w:hAnsi="Arial" w:cs="Arial"/>
          <w:color w:val="000000" w:themeColor="text1"/>
          <w:sz w:val="22"/>
          <w:szCs w:val="22"/>
        </w:rPr>
        <w:t>CB</w:t>
      </w:r>
      <w:r w:rsidR="002A5EDA" w:rsidRPr="00CD15B2">
        <w:rPr>
          <w:rFonts w:ascii="Arial" w:hAnsi="Arial" w:cs="Arial"/>
          <w:color w:val="000000" w:themeColor="text1"/>
          <w:sz w:val="22"/>
          <w:szCs w:val="22"/>
        </w:rPr>
        <w:t xml:space="preserve"> gene expression would reveal candidate mechanisms for acute oxygen sensing and insights into </w:t>
      </w:r>
      <w:r w:rsidR="00E55FCB" w:rsidRPr="00CD15B2">
        <w:rPr>
          <w:rFonts w:ascii="Arial" w:hAnsi="Arial" w:cs="Arial"/>
          <w:color w:val="000000" w:themeColor="text1"/>
          <w:sz w:val="22"/>
          <w:szCs w:val="22"/>
        </w:rPr>
        <w:t>cardiorespiratory pathology.</w:t>
      </w:r>
    </w:p>
    <w:p w14:paraId="00A0BB05" w14:textId="77777777" w:rsidR="00B34E14" w:rsidRPr="00CD15B2" w:rsidRDefault="00B34E14" w:rsidP="0050724E">
      <w:pPr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D6B109C" w14:textId="690731A3" w:rsidR="00B34E14" w:rsidRPr="00CD15B2" w:rsidRDefault="00261676" w:rsidP="0050724E">
      <w:pPr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>Methods</w:t>
      </w:r>
      <w:r w:rsidR="004E0DAD"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167DDC"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34E14" w:rsidRPr="00CD15B2">
        <w:rPr>
          <w:rFonts w:ascii="Arial" w:hAnsi="Arial" w:cs="Arial"/>
          <w:color w:val="000000" w:themeColor="text1"/>
          <w:sz w:val="22"/>
          <w:szCs w:val="22"/>
        </w:rPr>
        <w:t xml:space="preserve">We studied CB gene expression in sheep, where </w:t>
      </w:r>
      <w:r w:rsidR="004C31AE" w:rsidRPr="00CD15B2">
        <w:rPr>
          <w:rFonts w:ascii="Arial" w:hAnsi="Arial" w:cs="Arial"/>
          <w:color w:val="000000" w:themeColor="text1"/>
          <w:sz w:val="22"/>
          <w:szCs w:val="22"/>
        </w:rPr>
        <w:t xml:space="preserve">perinatal CB </w:t>
      </w:r>
      <w:r w:rsidR="00B34E14" w:rsidRPr="00CD15B2">
        <w:rPr>
          <w:rFonts w:ascii="Arial" w:hAnsi="Arial" w:cs="Arial"/>
          <w:color w:val="000000" w:themeColor="text1"/>
          <w:sz w:val="22"/>
          <w:szCs w:val="22"/>
        </w:rPr>
        <w:t xml:space="preserve">physiology </w:t>
      </w:r>
      <w:r w:rsidR="008571C3" w:rsidRPr="00CD15B2">
        <w:rPr>
          <w:rFonts w:ascii="Arial" w:hAnsi="Arial" w:cs="Arial"/>
          <w:color w:val="000000" w:themeColor="text1"/>
          <w:sz w:val="22"/>
          <w:szCs w:val="22"/>
        </w:rPr>
        <w:t>is</w:t>
      </w:r>
      <w:r w:rsidR="00B34E14" w:rsidRPr="00CD15B2">
        <w:rPr>
          <w:rFonts w:ascii="Arial" w:hAnsi="Arial" w:cs="Arial"/>
          <w:color w:val="000000" w:themeColor="text1"/>
          <w:sz w:val="22"/>
          <w:szCs w:val="22"/>
        </w:rPr>
        <w:t xml:space="preserve"> well</w:t>
      </w:r>
      <w:r w:rsidR="00570743" w:rsidRPr="00CD15B2">
        <w:rPr>
          <w:rFonts w:ascii="Arial" w:hAnsi="Arial" w:cs="Arial"/>
          <w:color w:val="000000" w:themeColor="text1"/>
          <w:sz w:val="22"/>
          <w:szCs w:val="22"/>
        </w:rPr>
        <w:t>-</w:t>
      </w:r>
      <w:r w:rsidR="00B34E14" w:rsidRPr="00CD15B2">
        <w:rPr>
          <w:rFonts w:ascii="Arial" w:hAnsi="Arial" w:cs="Arial"/>
          <w:color w:val="000000" w:themeColor="text1"/>
          <w:sz w:val="22"/>
          <w:szCs w:val="22"/>
        </w:rPr>
        <w:t xml:space="preserve">characterised. </w:t>
      </w:r>
      <w:proofErr w:type="spellStart"/>
      <w:r w:rsidR="00030672">
        <w:rPr>
          <w:rFonts w:ascii="Arial" w:hAnsi="Arial" w:cs="Arial"/>
          <w:color w:val="000000" w:themeColor="text1"/>
          <w:sz w:val="22"/>
          <w:szCs w:val="22"/>
        </w:rPr>
        <w:t>Fetal</w:t>
      </w:r>
      <w:proofErr w:type="spellEnd"/>
      <w:r w:rsidR="000306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2B1D" w:rsidRPr="00CD15B2">
        <w:rPr>
          <w:rFonts w:ascii="Arial" w:hAnsi="Arial" w:cs="Arial"/>
          <w:color w:val="000000" w:themeColor="text1"/>
          <w:sz w:val="22"/>
          <w:szCs w:val="22"/>
        </w:rPr>
        <w:t xml:space="preserve">CB </w:t>
      </w:r>
      <w:r w:rsidR="00314441" w:rsidRPr="00CD15B2">
        <w:rPr>
          <w:rFonts w:ascii="Arial" w:hAnsi="Arial" w:cs="Arial"/>
          <w:color w:val="000000" w:themeColor="text1"/>
          <w:sz w:val="22"/>
          <w:szCs w:val="22"/>
        </w:rPr>
        <w:t xml:space="preserve">reflexes 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 xml:space="preserve">becomes established </w:t>
      </w:r>
      <w:r w:rsidR="00832AF8" w:rsidRPr="00CD15B2">
        <w:rPr>
          <w:rFonts w:ascii="Arial" w:hAnsi="Arial" w:cs="Arial"/>
          <w:color w:val="000000" w:themeColor="text1"/>
          <w:sz w:val="22"/>
          <w:szCs w:val="22"/>
        </w:rPr>
        <w:t>by</w:t>
      </w:r>
      <w:r w:rsidR="00314441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4441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ca.</w:t>
      </w:r>
      <w:r w:rsidR="000278BC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>120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 xml:space="preserve"> days gestational age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>dGA</w:t>
      </w:r>
      <w:proofErr w:type="spellEnd"/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proofErr w:type="spellStart"/>
      <w:r w:rsidR="00030672">
        <w:rPr>
          <w:rFonts w:ascii="Arial" w:hAnsi="Arial" w:cs="Arial"/>
          <w:color w:val="000000" w:themeColor="text1"/>
          <w:sz w:val="22"/>
          <w:szCs w:val="22"/>
        </w:rPr>
        <w:t>triggerin</w:t>
      </w:r>
      <w:proofErr w:type="spellEnd"/>
      <w:r w:rsidR="009F2B1D" w:rsidRPr="00CD15B2">
        <w:rPr>
          <w:rFonts w:ascii="Arial" w:hAnsi="Arial" w:cs="Arial"/>
          <w:color w:val="000000" w:themeColor="text1"/>
          <w:sz w:val="22"/>
          <w:szCs w:val="22"/>
        </w:rPr>
        <w:t xml:space="preserve"> a hypoxia-induced cardiovascular response that is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2B1D" w:rsidRPr="00CD15B2">
        <w:rPr>
          <w:rFonts w:ascii="Arial" w:hAnsi="Arial" w:cs="Arial"/>
          <w:color w:val="000000" w:themeColor="text1"/>
          <w:sz w:val="22"/>
          <w:szCs w:val="22"/>
        </w:rPr>
        <w:t xml:space="preserve">robust by 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>term (145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>dGA</w:t>
      </w:r>
      <w:proofErr w:type="spellEnd"/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  <w:r w:rsidR="00115BC5" w:rsidRPr="00CD15B2">
        <w:rPr>
          <w:rFonts w:ascii="Arial" w:hAnsi="Arial" w:cs="Arial"/>
          <w:color w:val="000000" w:themeColor="text1"/>
          <w:sz w:val="22"/>
          <w:szCs w:val="22"/>
        </w:rPr>
        <w:t>S</w:t>
      </w:r>
      <w:r w:rsidR="009F2B1D" w:rsidRPr="00CD15B2">
        <w:rPr>
          <w:rFonts w:ascii="Arial" w:hAnsi="Arial" w:cs="Arial"/>
          <w:color w:val="000000" w:themeColor="text1"/>
          <w:sz w:val="22"/>
          <w:szCs w:val="22"/>
        </w:rPr>
        <w:t>ensitive CB-mediated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 xml:space="preserve"> hypoxic ventilatory response</w:t>
      </w:r>
      <w:r w:rsidR="00115BC5" w:rsidRPr="00CD15B2">
        <w:rPr>
          <w:rFonts w:ascii="Arial" w:hAnsi="Arial" w:cs="Arial"/>
          <w:color w:val="000000" w:themeColor="text1"/>
          <w:sz w:val="22"/>
          <w:szCs w:val="22"/>
        </w:rPr>
        <w:t>s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5BC5" w:rsidRPr="00CD15B2">
        <w:rPr>
          <w:rFonts w:ascii="Arial" w:hAnsi="Arial" w:cs="Arial"/>
          <w:color w:val="000000" w:themeColor="text1"/>
          <w:sz w:val="22"/>
          <w:szCs w:val="22"/>
        </w:rPr>
        <w:t>are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 xml:space="preserve"> established by post-natal 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 xml:space="preserve">(PN) 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>d</w:t>
      </w:r>
      <w:r w:rsidR="003F3EF3" w:rsidRPr="00CD15B2">
        <w:rPr>
          <w:rFonts w:ascii="Arial" w:hAnsi="Arial" w:cs="Arial"/>
          <w:color w:val="000000" w:themeColor="text1"/>
          <w:sz w:val="22"/>
          <w:szCs w:val="22"/>
        </w:rPr>
        <w:t xml:space="preserve">ay 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 xml:space="preserve">15. We 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 xml:space="preserve">isolated </w:t>
      </w:r>
      <w:r w:rsidR="00030672" w:rsidRPr="00CD15B2">
        <w:rPr>
          <w:rFonts w:ascii="Arial" w:hAnsi="Arial" w:cs="Arial"/>
          <w:color w:val="000000" w:themeColor="text1"/>
          <w:sz w:val="22"/>
          <w:szCs w:val="22"/>
        </w:rPr>
        <w:t>CB and the superior cervical ganglion (SCG) as an oxygen insensitive control</w:t>
      </w:r>
      <w:r w:rsidR="00CA3FF4">
        <w:rPr>
          <w:rFonts w:ascii="Arial" w:hAnsi="Arial" w:cs="Arial"/>
          <w:color w:val="000000" w:themeColor="text1"/>
          <w:sz w:val="22"/>
          <w:szCs w:val="22"/>
        </w:rPr>
        <w:t>,</w:t>
      </w:r>
      <w:r w:rsidR="00030672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>us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>ing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 xml:space="preserve"> 3 animals 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>per life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 xml:space="preserve"> stage (120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>dGA,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>145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>dGA</w:t>
      </w:r>
      <w:proofErr w:type="spellEnd"/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>,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>PN d15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595FBF" w:rsidRPr="00CD15B2">
        <w:rPr>
          <w:rFonts w:ascii="Arial" w:hAnsi="Arial" w:cs="Arial"/>
          <w:color w:val="000000" w:themeColor="text1"/>
          <w:sz w:val="22"/>
          <w:szCs w:val="22"/>
        </w:rPr>
        <w:t>and adults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>)</w:t>
      </w:r>
      <w:r w:rsidR="008571C3" w:rsidRPr="00CD15B2">
        <w:rPr>
          <w:rFonts w:ascii="Arial" w:hAnsi="Arial" w:cs="Arial"/>
          <w:color w:val="000000" w:themeColor="text1"/>
          <w:sz w:val="22"/>
          <w:szCs w:val="22"/>
        </w:rPr>
        <w:t>. Samples were processed for RNA sequencing</w:t>
      </w:r>
      <w:r w:rsidR="002D1313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5BC5" w:rsidRPr="00CD15B2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2D1313" w:rsidRPr="00CD15B2">
        <w:rPr>
          <w:rFonts w:ascii="Arial" w:hAnsi="Arial" w:cs="Arial"/>
          <w:color w:val="000000" w:themeColor="text1"/>
          <w:sz w:val="22"/>
          <w:szCs w:val="22"/>
        </w:rPr>
        <w:t>data</w:t>
      </w:r>
      <w:r w:rsidR="008571C3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D1313" w:rsidRPr="00CD15B2">
        <w:rPr>
          <w:rFonts w:ascii="Arial" w:hAnsi="Arial" w:cs="Arial"/>
          <w:color w:val="000000" w:themeColor="text1"/>
          <w:sz w:val="22"/>
          <w:szCs w:val="22"/>
        </w:rPr>
        <w:t>studied by</w:t>
      </w:r>
      <w:r w:rsidR="008571C3" w:rsidRPr="00CD15B2">
        <w:rPr>
          <w:rFonts w:ascii="Arial" w:hAnsi="Arial" w:cs="Arial"/>
          <w:color w:val="000000" w:themeColor="text1"/>
          <w:sz w:val="22"/>
          <w:szCs w:val="22"/>
        </w:rPr>
        <w:t xml:space="preserve"> principal component and hierarchical clustering analysis. </w:t>
      </w:r>
    </w:p>
    <w:p w14:paraId="654885A1" w14:textId="77777777" w:rsidR="00595FBF" w:rsidRPr="00CD15B2" w:rsidRDefault="00595FBF" w:rsidP="0050724E">
      <w:pPr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C8666CD" w14:textId="5EC0B043" w:rsidR="00052507" w:rsidRPr="00CD15B2" w:rsidRDefault="00261676" w:rsidP="0050724E">
      <w:pPr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>Results</w:t>
      </w:r>
      <w:r w:rsidR="004E0DAD"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167DDC"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278BC" w:rsidRPr="00CD15B2">
        <w:rPr>
          <w:rFonts w:ascii="Arial" w:hAnsi="Arial" w:cs="Arial"/>
          <w:color w:val="000000" w:themeColor="text1"/>
          <w:sz w:val="22"/>
          <w:szCs w:val="22"/>
        </w:rPr>
        <w:t>We see clear separation of CB and SCG transcrip</w:t>
      </w:r>
      <w:r w:rsidR="008C5701" w:rsidRPr="00CD15B2">
        <w:rPr>
          <w:rFonts w:ascii="Arial" w:hAnsi="Arial" w:cs="Arial"/>
          <w:color w:val="000000" w:themeColor="text1"/>
          <w:sz w:val="22"/>
          <w:szCs w:val="22"/>
        </w:rPr>
        <w:t>tomes</w:t>
      </w:r>
      <w:r w:rsidR="000278BC" w:rsidRPr="00CD15B2">
        <w:rPr>
          <w:rFonts w:ascii="Arial" w:hAnsi="Arial" w:cs="Arial"/>
          <w:color w:val="000000" w:themeColor="text1"/>
          <w:sz w:val="22"/>
          <w:szCs w:val="22"/>
        </w:rPr>
        <w:t xml:space="preserve"> and a </w:t>
      </w:r>
      <w:r w:rsidR="00F01038" w:rsidRPr="00CD15B2">
        <w:rPr>
          <w:rFonts w:ascii="Arial" w:hAnsi="Arial" w:cs="Arial"/>
          <w:color w:val="000000" w:themeColor="text1"/>
          <w:sz w:val="22"/>
          <w:szCs w:val="22"/>
        </w:rPr>
        <w:t xml:space="preserve">sequential </w:t>
      </w:r>
      <w:r w:rsidR="000278BC" w:rsidRPr="00CD15B2">
        <w:rPr>
          <w:rFonts w:ascii="Arial" w:hAnsi="Arial" w:cs="Arial"/>
          <w:color w:val="000000" w:themeColor="text1"/>
          <w:sz w:val="22"/>
          <w:szCs w:val="22"/>
        </w:rPr>
        <w:t>change in CB gene expression with</w:t>
      </w:r>
      <w:r w:rsidR="00F01038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278BC" w:rsidRPr="00CD15B2">
        <w:rPr>
          <w:rFonts w:ascii="Arial" w:hAnsi="Arial" w:cs="Arial"/>
          <w:color w:val="000000" w:themeColor="text1"/>
          <w:sz w:val="22"/>
          <w:szCs w:val="22"/>
        </w:rPr>
        <w:t xml:space="preserve">maturation. 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>T</w:t>
      </w:r>
      <w:r w:rsidR="008C5701" w:rsidRPr="00CD15B2">
        <w:rPr>
          <w:rFonts w:ascii="Arial" w:hAnsi="Arial" w:cs="Arial"/>
          <w:color w:val="000000" w:themeColor="text1"/>
          <w:sz w:val="22"/>
          <w:szCs w:val="22"/>
        </w:rPr>
        <w:t xml:space="preserve">he 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most striking and progressive </w:t>
      </w:r>
      <w:r w:rsidR="008C5701" w:rsidRPr="00CD15B2">
        <w:rPr>
          <w:rFonts w:ascii="Arial" w:hAnsi="Arial" w:cs="Arial"/>
          <w:color w:val="000000" w:themeColor="text1"/>
          <w:sz w:val="22"/>
          <w:szCs w:val="22"/>
        </w:rPr>
        <w:t>CB enrichment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32AF8" w:rsidRPr="00CD15B2">
        <w:rPr>
          <w:rFonts w:ascii="Arial" w:hAnsi="Arial" w:cs="Arial"/>
          <w:color w:val="000000" w:themeColor="text1"/>
          <w:sz w:val="22"/>
          <w:szCs w:val="22"/>
        </w:rPr>
        <w:t xml:space="preserve">is in 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 xml:space="preserve">genes </w:t>
      </w:r>
      <w:r w:rsidR="00781A0F" w:rsidRPr="00CD15B2">
        <w:rPr>
          <w:rFonts w:ascii="Arial" w:hAnsi="Arial" w:cs="Arial"/>
          <w:color w:val="000000" w:themeColor="text1"/>
          <w:sz w:val="22"/>
          <w:szCs w:val="22"/>
        </w:rPr>
        <w:t>previously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 implicated in 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 xml:space="preserve">murine CB 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>oxygen sensing</w:t>
      </w:r>
      <w:r w:rsidR="00832AF8" w:rsidRPr="00CD15B2">
        <w:rPr>
          <w:rFonts w:ascii="Arial" w:hAnsi="Arial" w:cs="Arial"/>
          <w:color w:val="000000" w:themeColor="text1"/>
          <w:sz w:val="22"/>
          <w:szCs w:val="22"/>
        </w:rPr>
        <w:t>,</w:t>
      </w:r>
      <w:r w:rsidR="004E0DAD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 xml:space="preserve">including </w:t>
      </w:r>
      <w:r w:rsidR="00AF07D8" w:rsidRPr="00CD15B2">
        <w:rPr>
          <w:rFonts w:ascii="Arial" w:hAnsi="Arial" w:cs="Arial"/>
          <w:color w:val="000000" w:themeColor="text1"/>
          <w:sz w:val="22"/>
          <w:szCs w:val="22"/>
        </w:rPr>
        <w:t>potassium channels (</w:t>
      </w:r>
      <w:proofErr w:type="spellStart"/>
      <w:r w:rsidR="005447B0">
        <w:rPr>
          <w:rFonts w:ascii="Arial" w:hAnsi="Arial" w:cs="Arial"/>
          <w:color w:val="000000" w:themeColor="text1"/>
          <w:sz w:val="22"/>
          <w:szCs w:val="22"/>
        </w:rPr>
        <w:t>eg.</w:t>
      </w:r>
      <w:proofErr w:type="spellEnd"/>
      <w:r w:rsidR="005447B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F07D8" w:rsidRPr="00CD15B2">
        <w:rPr>
          <w:rFonts w:ascii="Arial" w:hAnsi="Arial" w:cs="Arial"/>
          <w:color w:val="000000" w:themeColor="text1"/>
          <w:sz w:val="22"/>
          <w:szCs w:val="22"/>
        </w:rPr>
        <w:t>K</w:t>
      </w:r>
      <w:r w:rsidR="0087435B" w:rsidRPr="00CD15B2">
        <w:rPr>
          <w:rFonts w:ascii="Arial" w:hAnsi="Arial" w:cs="Arial"/>
          <w:color w:val="000000" w:themeColor="text1"/>
          <w:sz w:val="22"/>
          <w:szCs w:val="22"/>
        </w:rPr>
        <w:t>CN</w:t>
      </w:r>
      <w:r w:rsidR="00AF07D8" w:rsidRPr="00CD15B2">
        <w:rPr>
          <w:rFonts w:ascii="Arial" w:hAnsi="Arial" w:cs="Arial"/>
          <w:color w:val="000000" w:themeColor="text1"/>
          <w:sz w:val="22"/>
          <w:szCs w:val="22"/>
        </w:rPr>
        <w:t xml:space="preserve">K9: log2fc 4.0, </w:t>
      </w:r>
      <w:r w:rsidR="00C6560E" w:rsidRPr="00CD15B2">
        <w:rPr>
          <w:rFonts w:ascii="Arial" w:hAnsi="Arial" w:cs="Arial"/>
          <w:color w:val="000000" w:themeColor="text1"/>
          <w:sz w:val="22"/>
          <w:szCs w:val="22"/>
        </w:rPr>
        <w:t xml:space="preserve">FDR </w:t>
      </w:r>
      <w:r w:rsidR="00AF07D8" w:rsidRPr="00CD15B2">
        <w:rPr>
          <w:rFonts w:ascii="Arial" w:hAnsi="Arial" w:cs="Arial"/>
          <w:color w:val="000000" w:themeColor="text1"/>
          <w:sz w:val="22"/>
          <w:szCs w:val="22"/>
        </w:rPr>
        <w:t>5.</w:t>
      </w:r>
      <w:r w:rsidR="00C6560E" w:rsidRPr="00CD15B2">
        <w:rPr>
          <w:rFonts w:ascii="Arial" w:hAnsi="Arial" w:cs="Arial"/>
          <w:color w:val="000000" w:themeColor="text1"/>
          <w:sz w:val="22"/>
          <w:szCs w:val="22"/>
        </w:rPr>
        <w:t>6</w:t>
      </w:r>
      <w:r w:rsidR="00AF07D8" w:rsidRPr="00CD15B2">
        <w:rPr>
          <w:rFonts w:ascii="Arial" w:hAnsi="Arial" w:cs="Arial"/>
          <w:color w:val="000000" w:themeColor="text1"/>
          <w:sz w:val="22"/>
          <w:szCs w:val="22"/>
        </w:rPr>
        <w:t>E-09</w:t>
      </w:r>
      <w:r w:rsidR="00166270">
        <w:rPr>
          <w:rFonts w:ascii="Arial" w:hAnsi="Arial" w:cs="Arial"/>
          <w:color w:val="000000" w:themeColor="text1"/>
          <w:sz w:val="22"/>
          <w:szCs w:val="22"/>
        </w:rPr>
        <w:t>, tissue-time interaction across all samples</w:t>
      </w:r>
      <w:r w:rsidR="00AF07D8" w:rsidRPr="00CD15B2">
        <w:rPr>
          <w:rFonts w:ascii="Arial" w:hAnsi="Arial" w:cs="Arial"/>
          <w:color w:val="000000" w:themeColor="text1"/>
          <w:sz w:val="22"/>
          <w:szCs w:val="22"/>
        </w:rPr>
        <w:t>)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 and variant mitochondrial complex IV (</w:t>
      </w:r>
      <w:proofErr w:type="spellStart"/>
      <w:r w:rsidR="005447B0">
        <w:rPr>
          <w:rFonts w:ascii="Arial" w:hAnsi="Arial" w:cs="Arial"/>
          <w:color w:val="000000" w:themeColor="text1"/>
          <w:sz w:val="22"/>
          <w:szCs w:val="22"/>
        </w:rPr>
        <w:t>eg.</w:t>
      </w:r>
      <w:proofErr w:type="spellEnd"/>
      <w:r w:rsidR="005447B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>NDUFA4L</w:t>
      </w:r>
      <w:r w:rsidR="00AF07D8" w:rsidRPr="00CD15B2">
        <w:rPr>
          <w:rFonts w:ascii="Arial" w:hAnsi="Arial" w:cs="Arial"/>
          <w:color w:val="000000" w:themeColor="text1"/>
          <w:sz w:val="22"/>
          <w:szCs w:val="22"/>
        </w:rPr>
        <w:t xml:space="preserve">2: log2fc </w:t>
      </w:r>
      <w:r w:rsidR="003E1CBB" w:rsidRPr="00CD15B2">
        <w:rPr>
          <w:rFonts w:ascii="Arial" w:hAnsi="Arial" w:cs="Arial"/>
          <w:color w:val="000000" w:themeColor="text1"/>
          <w:sz w:val="22"/>
          <w:szCs w:val="22"/>
        </w:rPr>
        <w:t>2.0</w:t>
      </w:r>
      <w:r w:rsidR="00AF07D8" w:rsidRPr="00CD15B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6560E" w:rsidRPr="00CD15B2">
        <w:rPr>
          <w:rFonts w:ascii="Arial" w:hAnsi="Arial" w:cs="Arial"/>
          <w:color w:val="000000" w:themeColor="text1"/>
          <w:sz w:val="22"/>
          <w:szCs w:val="22"/>
        </w:rPr>
        <w:t xml:space="preserve">FDR </w:t>
      </w:r>
      <w:r w:rsidR="00AF07D8" w:rsidRPr="00CD15B2">
        <w:rPr>
          <w:rFonts w:ascii="Arial" w:hAnsi="Arial" w:cs="Arial"/>
          <w:color w:val="000000" w:themeColor="text1"/>
          <w:sz w:val="22"/>
          <w:szCs w:val="22"/>
        </w:rPr>
        <w:t>5.7E-05).</w:t>
      </w:r>
      <w:r w:rsidR="00CD5A83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>There is also</w:t>
      </w:r>
      <w:r w:rsidR="00167DDC" w:rsidRPr="00CD15B2">
        <w:rPr>
          <w:rFonts w:ascii="Arial" w:hAnsi="Arial" w:cs="Arial"/>
          <w:color w:val="000000" w:themeColor="text1"/>
          <w:sz w:val="22"/>
          <w:szCs w:val="22"/>
        </w:rPr>
        <w:t xml:space="preserve"> progressive CB enrichment of genes involved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r w:rsidR="00167DDC" w:rsidRPr="00CD15B2">
        <w:rPr>
          <w:rFonts w:ascii="Arial" w:hAnsi="Arial" w:cs="Arial"/>
          <w:color w:val="000000" w:themeColor="text1"/>
          <w:sz w:val="22"/>
          <w:szCs w:val="22"/>
        </w:rPr>
        <w:t>DAG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 signalling </w:t>
      </w:r>
      <w:r w:rsidR="00167DDC" w:rsidRPr="00CD15B2">
        <w:rPr>
          <w:rFonts w:ascii="Arial" w:hAnsi="Arial" w:cs="Arial"/>
          <w:color w:val="000000" w:themeColor="text1"/>
          <w:sz w:val="22"/>
          <w:szCs w:val="22"/>
        </w:rPr>
        <w:t>(</w:t>
      </w:r>
      <w:proofErr w:type="spellStart"/>
      <w:r w:rsidR="009C1D41" w:rsidRPr="00CD15B2">
        <w:rPr>
          <w:rFonts w:ascii="Arial" w:hAnsi="Arial" w:cs="Arial"/>
          <w:color w:val="000000" w:themeColor="text1"/>
          <w:sz w:val="22"/>
          <w:szCs w:val="22"/>
        </w:rPr>
        <w:t>eg.</w:t>
      </w:r>
      <w:proofErr w:type="spellEnd"/>
      <w:r w:rsidR="009C1D41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67DDC" w:rsidRPr="00CD15B2">
        <w:rPr>
          <w:rFonts w:ascii="Arial" w:hAnsi="Arial" w:cs="Arial"/>
          <w:color w:val="000000" w:themeColor="text1"/>
          <w:sz w:val="22"/>
          <w:szCs w:val="22"/>
        </w:rPr>
        <w:t xml:space="preserve">DGKH: log2fc 2.6, FDR 1.73E-11) 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9C1D41" w:rsidRPr="00CD15B2">
        <w:rPr>
          <w:rFonts w:ascii="Arial" w:hAnsi="Arial" w:cs="Arial"/>
          <w:color w:val="000000" w:themeColor="text1"/>
          <w:sz w:val="22"/>
          <w:szCs w:val="22"/>
        </w:rPr>
        <w:t>up</w:t>
      </w:r>
      <w:r w:rsidR="00166270">
        <w:rPr>
          <w:rFonts w:ascii="Arial" w:hAnsi="Arial" w:cs="Arial"/>
          <w:color w:val="000000" w:themeColor="text1"/>
          <w:sz w:val="22"/>
          <w:szCs w:val="22"/>
        </w:rPr>
        <w:t>-</w:t>
      </w:r>
      <w:r w:rsidR="009C1D41" w:rsidRPr="00CD15B2">
        <w:rPr>
          <w:rFonts w:ascii="Arial" w:hAnsi="Arial" w:cs="Arial"/>
          <w:color w:val="000000" w:themeColor="text1"/>
          <w:sz w:val="22"/>
          <w:szCs w:val="22"/>
        </w:rPr>
        <w:t xml:space="preserve">regulation of genes for 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fatty acid </w:t>
      </w:r>
      <w:r w:rsidR="00167DDC" w:rsidRPr="00CD15B2">
        <w:rPr>
          <w:rFonts w:ascii="Arial" w:hAnsi="Arial" w:cs="Arial"/>
          <w:color w:val="000000" w:themeColor="text1"/>
          <w:sz w:val="22"/>
          <w:szCs w:val="22"/>
        </w:rPr>
        <w:t>CoA ligase</w:t>
      </w:r>
      <w:r w:rsidR="009C1D41" w:rsidRPr="00CD15B2">
        <w:rPr>
          <w:rFonts w:ascii="Arial" w:hAnsi="Arial" w:cs="Arial"/>
          <w:color w:val="000000" w:themeColor="text1"/>
          <w:sz w:val="22"/>
          <w:szCs w:val="22"/>
        </w:rPr>
        <w:t>s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435B" w:rsidRPr="00CD15B2">
        <w:rPr>
          <w:rFonts w:ascii="Arial" w:hAnsi="Arial" w:cs="Arial"/>
          <w:color w:val="000000" w:themeColor="text1"/>
          <w:sz w:val="22"/>
          <w:szCs w:val="22"/>
        </w:rPr>
        <w:t>(</w:t>
      </w:r>
      <w:r w:rsidR="0087435B" w:rsidRPr="00CD15B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GO:0004467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>,</w:t>
      </w:r>
      <w:r w:rsidR="0087435B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261D" w:rsidRPr="00CD15B2">
        <w:rPr>
          <w:rFonts w:ascii="Arial" w:hAnsi="Arial" w:cs="Arial"/>
          <w:color w:val="000000" w:themeColor="text1"/>
          <w:sz w:val="22"/>
          <w:szCs w:val="22"/>
        </w:rPr>
        <w:t>6.</w:t>
      </w:r>
      <w:r w:rsidR="003E1CBB" w:rsidRPr="00CD15B2">
        <w:rPr>
          <w:rFonts w:ascii="Arial" w:hAnsi="Arial" w:cs="Arial"/>
          <w:color w:val="000000" w:themeColor="text1"/>
          <w:sz w:val="22"/>
          <w:szCs w:val="22"/>
        </w:rPr>
        <w:t>8</w:t>
      </w:r>
      <w:r w:rsidR="00A24EC9" w:rsidRPr="00CD15B2">
        <w:rPr>
          <w:rFonts w:ascii="Arial" w:hAnsi="Arial" w:cs="Arial"/>
          <w:color w:val="000000" w:themeColor="text1"/>
          <w:sz w:val="22"/>
          <w:szCs w:val="22"/>
        </w:rPr>
        <w:t>-</w:t>
      </w:r>
      <w:r w:rsidR="00B5261D" w:rsidRPr="00CD15B2">
        <w:rPr>
          <w:rFonts w:ascii="Arial" w:hAnsi="Arial" w:cs="Arial"/>
          <w:color w:val="000000" w:themeColor="text1"/>
          <w:sz w:val="22"/>
          <w:szCs w:val="22"/>
        </w:rPr>
        <w:t xml:space="preserve">fold enrichment, FDR </w:t>
      </w:r>
      <w:r w:rsidR="00B5261D" w:rsidRPr="00CD15B2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1.9E-02</w:t>
      </w:r>
      <w:r w:rsidR="003E1CBB" w:rsidRPr="00CD15B2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, adult CB </w:t>
      </w:r>
      <w:r w:rsidR="003E1CBB" w:rsidRPr="00CD15B2"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vs.</w:t>
      </w:r>
      <w:r w:rsidR="003E1CBB" w:rsidRPr="00CD15B2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SCG</w:t>
      </w:r>
      <w:r w:rsidR="00B5261D" w:rsidRPr="00CD15B2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)</w:t>
      </w:r>
      <w:r w:rsidR="00052507" w:rsidRPr="00CD15B2">
        <w:rPr>
          <w:rFonts w:ascii="Arial" w:hAnsi="Arial" w:cs="Arial"/>
          <w:color w:val="000000" w:themeColor="text1"/>
          <w:sz w:val="22"/>
          <w:szCs w:val="22"/>
        </w:rPr>
        <w:t xml:space="preserve"> but this is on a background of widespread down-regulation of most metabolic genes</w:t>
      </w:r>
      <w:r w:rsidR="00781A0F" w:rsidRPr="00CD15B2">
        <w:rPr>
          <w:rFonts w:ascii="Arial" w:hAnsi="Arial" w:cs="Arial"/>
          <w:color w:val="000000" w:themeColor="text1"/>
          <w:sz w:val="22"/>
          <w:szCs w:val="22"/>
        </w:rPr>
        <w:t>, potentially providing a state permissive to metabolic signal detection.</w:t>
      </w:r>
      <w:r w:rsidR="00E55FCB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A89534E" w14:textId="4A4F9260" w:rsidR="005B4357" w:rsidRPr="00CD15B2" w:rsidRDefault="005B4357" w:rsidP="0050724E">
      <w:pPr>
        <w:pStyle w:val="NormalWeb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D15B2">
        <w:rPr>
          <w:rFonts w:ascii="Arial" w:hAnsi="Arial" w:cs="Arial"/>
          <w:color w:val="000000" w:themeColor="text1"/>
          <w:sz w:val="22"/>
          <w:szCs w:val="22"/>
        </w:rPr>
        <w:t>Seeking potential transcriptional drivers of maturation</w:t>
      </w:r>
      <w:r w:rsidR="002D1313" w:rsidRPr="00CD15B2">
        <w:rPr>
          <w:rFonts w:ascii="Arial" w:hAnsi="Arial" w:cs="Arial"/>
          <w:color w:val="000000" w:themeColor="text1"/>
          <w:sz w:val="22"/>
          <w:szCs w:val="22"/>
        </w:rPr>
        <w:t>,</w:t>
      </w:r>
      <w:r w:rsidRPr="00CD15B2">
        <w:rPr>
          <w:rFonts w:ascii="Arial" w:hAnsi="Arial" w:cs="Arial"/>
          <w:color w:val="000000" w:themeColor="text1"/>
          <w:sz w:val="22"/>
          <w:szCs w:val="22"/>
        </w:rPr>
        <w:t xml:space="preserve"> we focussed on the most highly expressed transcription factors that increase with development. The top candidate is hypoxia-inducible factor 2 (HIF-2) which is uniquely highly expressed in the CB </w:t>
      </w:r>
      <w:r w:rsidR="00B5261D" w:rsidRPr="00CD15B2">
        <w:rPr>
          <w:rFonts w:ascii="Arial" w:hAnsi="Arial" w:cs="Arial"/>
          <w:color w:val="000000" w:themeColor="text1"/>
          <w:sz w:val="22"/>
          <w:szCs w:val="22"/>
        </w:rPr>
        <w:t xml:space="preserve">(mean </w:t>
      </w:r>
      <w:proofErr w:type="spellStart"/>
      <w:r w:rsidR="00B5261D" w:rsidRPr="00CD15B2">
        <w:rPr>
          <w:rFonts w:ascii="Arial" w:hAnsi="Arial" w:cs="Arial"/>
          <w:color w:val="000000" w:themeColor="text1"/>
          <w:sz w:val="22"/>
          <w:szCs w:val="22"/>
        </w:rPr>
        <w:t>tpm</w:t>
      </w:r>
      <w:proofErr w:type="spellEnd"/>
      <w:r w:rsidR="00B5261D" w:rsidRPr="00CD15B2">
        <w:rPr>
          <w:rFonts w:ascii="Arial" w:hAnsi="Arial" w:cs="Arial"/>
          <w:color w:val="000000" w:themeColor="text1"/>
          <w:sz w:val="22"/>
          <w:szCs w:val="22"/>
        </w:rPr>
        <w:t xml:space="preserve"> 1327 (CB) </w:t>
      </w:r>
      <w:r w:rsidR="00B5261D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vs</w:t>
      </w:r>
      <w:r w:rsidR="00A24EC9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="00B5261D" w:rsidRPr="00CD15B2">
        <w:rPr>
          <w:rFonts w:ascii="Arial" w:hAnsi="Arial" w:cs="Arial"/>
          <w:color w:val="000000" w:themeColor="text1"/>
          <w:sz w:val="22"/>
          <w:szCs w:val="22"/>
        </w:rPr>
        <w:t xml:space="preserve"> 96 (SCG)</w:t>
      </w:r>
      <w:r w:rsidR="00725CCC" w:rsidRPr="00CD15B2">
        <w:rPr>
          <w:rFonts w:ascii="Arial" w:hAnsi="Arial" w:cs="Arial"/>
          <w:color w:val="000000" w:themeColor="text1"/>
          <w:sz w:val="22"/>
          <w:szCs w:val="22"/>
        </w:rPr>
        <w:t>)</w:t>
      </w:r>
      <w:r w:rsidRPr="00CD15B2">
        <w:rPr>
          <w:rFonts w:ascii="Arial" w:hAnsi="Arial" w:cs="Arial"/>
          <w:color w:val="000000" w:themeColor="text1"/>
          <w:sz w:val="22"/>
          <w:szCs w:val="22"/>
        </w:rPr>
        <w:t>.</w:t>
      </w:r>
      <w:r w:rsidR="00436EB5">
        <w:rPr>
          <w:rFonts w:ascii="Arial" w:hAnsi="Arial" w:cs="Arial"/>
          <w:color w:val="000000" w:themeColor="text1"/>
          <w:sz w:val="22"/>
          <w:szCs w:val="22"/>
        </w:rPr>
        <w:t xml:space="preserve"> The next most highly expressed transcription factor is DDX5 </w:t>
      </w:r>
      <w:r w:rsidR="00436EB5" w:rsidRPr="00CD15B2">
        <w:rPr>
          <w:rFonts w:ascii="Arial" w:hAnsi="Arial" w:cs="Arial"/>
          <w:color w:val="000000" w:themeColor="text1"/>
          <w:sz w:val="22"/>
          <w:szCs w:val="22"/>
        </w:rPr>
        <w:t xml:space="preserve">(mean </w:t>
      </w:r>
      <w:proofErr w:type="spellStart"/>
      <w:r w:rsidR="00436EB5" w:rsidRPr="00CD15B2">
        <w:rPr>
          <w:rFonts w:ascii="Arial" w:hAnsi="Arial" w:cs="Arial"/>
          <w:color w:val="000000" w:themeColor="text1"/>
          <w:sz w:val="22"/>
          <w:szCs w:val="22"/>
        </w:rPr>
        <w:t>tpm</w:t>
      </w:r>
      <w:proofErr w:type="spellEnd"/>
      <w:r w:rsidR="00436EB5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853D4">
        <w:rPr>
          <w:rFonts w:ascii="Arial" w:hAnsi="Arial" w:cs="Arial"/>
          <w:color w:val="000000" w:themeColor="text1"/>
          <w:sz w:val="22"/>
          <w:szCs w:val="22"/>
        </w:rPr>
        <w:t>535</w:t>
      </w:r>
      <w:r w:rsidR="00436EB5" w:rsidRPr="00CD15B2">
        <w:rPr>
          <w:rFonts w:ascii="Arial" w:hAnsi="Arial" w:cs="Arial"/>
          <w:color w:val="000000" w:themeColor="text1"/>
          <w:sz w:val="22"/>
          <w:szCs w:val="22"/>
        </w:rPr>
        <w:t xml:space="preserve"> (CB) </w:t>
      </w:r>
      <w:r w:rsidR="00436EB5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vs.</w:t>
      </w:r>
      <w:r w:rsidR="00436EB5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853D4">
        <w:rPr>
          <w:rFonts w:ascii="Arial" w:hAnsi="Arial" w:cs="Arial"/>
          <w:color w:val="000000" w:themeColor="text1"/>
          <w:sz w:val="22"/>
          <w:szCs w:val="22"/>
        </w:rPr>
        <w:t>304</w:t>
      </w:r>
      <w:r w:rsidR="00436EB5" w:rsidRPr="00CD15B2">
        <w:rPr>
          <w:rFonts w:ascii="Arial" w:hAnsi="Arial" w:cs="Arial"/>
          <w:color w:val="000000" w:themeColor="text1"/>
          <w:sz w:val="22"/>
          <w:szCs w:val="22"/>
        </w:rPr>
        <w:t xml:space="preserve"> (SCG)).</w:t>
      </w:r>
      <w:r w:rsidR="00436EB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D15B2">
        <w:rPr>
          <w:rFonts w:ascii="Arial" w:hAnsi="Arial" w:cs="Arial"/>
          <w:color w:val="000000" w:themeColor="text1"/>
          <w:sz w:val="22"/>
          <w:szCs w:val="22"/>
        </w:rPr>
        <w:t xml:space="preserve">We also find </w:t>
      </w:r>
      <w:r w:rsidR="00832AF8" w:rsidRPr="00CD15B2">
        <w:rPr>
          <w:rFonts w:ascii="Arial" w:hAnsi="Arial" w:cs="Arial"/>
          <w:color w:val="000000" w:themeColor="text1"/>
          <w:sz w:val="22"/>
          <w:szCs w:val="22"/>
        </w:rPr>
        <w:t xml:space="preserve">postnatal </w:t>
      </w:r>
      <w:r w:rsidRPr="00CD15B2">
        <w:rPr>
          <w:rFonts w:ascii="Arial" w:hAnsi="Arial" w:cs="Arial"/>
          <w:color w:val="000000" w:themeColor="text1"/>
          <w:sz w:val="22"/>
          <w:szCs w:val="22"/>
        </w:rPr>
        <w:t>enrichment of glucocorticoid target genes</w:t>
      </w:r>
      <w:r w:rsidR="00807A40" w:rsidRPr="00CD15B2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C6560E" w:rsidRPr="00CD15B2">
        <w:rPr>
          <w:rFonts w:ascii="Arial" w:hAnsi="Arial" w:cs="Arial"/>
          <w:color w:val="000000" w:themeColor="text1"/>
          <w:sz w:val="22"/>
          <w:szCs w:val="22"/>
        </w:rPr>
        <w:t>FDR=</w:t>
      </w:r>
      <w:r w:rsidR="00807A40" w:rsidRPr="00CD15B2">
        <w:rPr>
          <w:rFonts w:ascii="Arial" w:hAnsi="Arial" w:cs="Arial"/>
          <w:color w:val="000000" w:themeColor="text1"/>
          <w:sz w:val="22"/>
          <w:szCs w:val="22"/>
        </w:rPr>
        <w:t>4.3E-4</w:t>
      </w:r>
      <w:r w:rsidR="003E1CBB" w:rsidRPr="00CD15B2">
        <w:rPr>
          <w:rFonts w:ascii="Arial" w:hAnsi="Arial" w:cs="Arial"/>
          <w:color w:val="000000" w:themeColor="text1"/>
          <w:sz w:val="22"/>
          <w:szCs w:val="22"/>
        </w:rPr>
        <w:t xml:space="preserve"> adult CB </w:t>
      </w:r>
      <w:r w:rsidR="003E1CBB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vs.</w:t>
      </w:r>
      <w:r w:rsidR="003E1CBB" w:rsidRPr="00CD15B2">
        <w:rPr>
          <w:rFonts w:ascii="Arial" w:hAnsi="Arial" w:cs="Arial"/>
          <w:color w:val="000000" w:themeColor="text1"/>
          <w:sz w:val="22"/>
          <w:szCs w:val="22"/>
        </w:rPr>
        <w:t xml:space="preserve"> SCG</w:t>
      </w:r>
      <w:r w:rsidR="00807A40" w:rsidRPr="00CD15B2">
        <w:rPr>
          <w:rFonts w:ascii="Arial" w:hAnsi="Arial" w:cs="Arial"/>
          <w:color w:val="000000" w:themeColor="text1"/>
          <w:sz w:val="22"/>
          <w:szCs w:val="22"/>
        </w:rPr>
        <w:t>)</w:t>
      </w:r>
      <w:r w:rsidRPr="00CD15B2">
        <w:rPr>
          <w:rFonts w:ascii="Arial" w:hAnsi="Arial" w:cs="Arial"/>
          <w:color w:val="000000" w:themeColor="text1"/>
          <w:sz w:val="22"/>
          <w:szCs w:val="22"/>
        </w:rPr>
        <w:t>, consistent with cortisol</w:t>
      </w:r>
      <w:r w:rsidR="00CD5A83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D15B2">
        <w:rPr>
          <w:rFonts w:ascii="Arial" w:hAnsi="Arial" w:cs="Arial"/>
          <w:color w:val="000000" w:themeColor="text1"/>
          <w:sz w:val="22"/>
          <w:szCs w:val="22"/>
        </w:rPr>
        <w:t>driven maturation.</w:t>
      </w:r>
    </w:p>
    <w:p w14:paraId="63A9F5F9" w14:textId="77777777" w:rsidR="00B53D80" w:rsidRPr="00CD15B2" w:rsidRDefault="00B53D80" w:rsidP="0050724E">
      <w:pPr>
        <w:pStyle w:val="NormalWeb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66A305B" w14:textId="1E45C526" w:rsidR="009358DD" w:rsidRPr="00CD15B2" w:rsidRDefault="00731E39" w:rsidP="00B827F0">
      <w:pPr>
        <w:pStyle w:val="NormalWeb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>Conclusions</w:t>
      </w:r>
      <w:r w:rsidR="00B53D80"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9C1D41" w:rsidRPr="00CD15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883548" w:rsidRPr="00CD15B2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30672">
        <w:rPr>
          <w:rFonts w:ascii="Arial" w:hAnsi="Arial" w:cs="Arial"/>
          <w:color w:val="000000" w:themeColor="text1"/>
          <w:sz w:val="22"/>
          <w:szCs w:val="22"/>
        </w:rPr>
        <w:t xml:space="preserve">developing </w:t>
      </w:r>
      <w:r w:rsidR="00883548" w:rsidRPr="00CD15B2">
        <w:rPr>
          <w:rFonts w:ascii="Arial" w:hAnsi="Arial" w:cs="Arial"/>
          <w:color w:val="000000" w:themeColor="text1"/>
          <w:sz w:val="22"/>
          <w:szCs w:val="22"/>
        </w:rPr>
        <w:t xml:space="preserve">CB transcriptome </w:t>
      </w:r>
      <w:r w:rsidR="004E0DAD" w:rsidRPr="00CD15B2">
        <w:rPr>
          <w:rFonts w:ascii="Arial" w:hAnsi="Arial" w:cs="Arial"/>
          <w:color w:val="000000" w:themeColor="text1"/>
          <w:sz w:val="22"/>
          <w:szCs w:val="22"/>
        </w:rPr>
        <w:t>reveals</w:t>
      </w:r>
      <w:r w:rsidR="00883548" w:rsidRPr="00CD15B2">
        <w:rPr>
          <w:rFonts w:ascii="Arial" w:hAnsi="Arial" w:cs="Arial"/>
          <w:color w:val="000000" w:themeColor="text1"/>
          <w:sz w:val="22"/>
          <w:szCs w:val="22"/>
        </w:rPr>
        <w:t xml:space="preserve"> a unique metabolic </w:t>
      </w:r>
      <w:r w:rsidR="004E0DAD" w:rsidRPr="00CD15B2">
        <w:rPr>
          <w:rFonts w:ascii="Arial" w:hAnsi="Arial" w:cs="Arial"/>
          <w:color w:val="000000" w:themeColor="text1"/>
          <w:sz w:val="22"/>
          <w:szCs w:val="22"/>
        </w:rPr>
        <w:t xml:space="preserve">signature </w:t>
      </w:r>
      <w:r w:rsidR="00883548" w:rsidRPr="00CD15B2">
        <w:rPr>
          <w:rFonts w:ascii="Arial" w:hAnsi="Arial" w:cs="Arial"/>
          <w:color w:val="000000" w:themeColor="text1"/>
          <w:sz w:val="22"/>
          <w:szCs w:val="22"/>
        </w:rPr>
        <w:t xml:space="preserve">centred on HIF-2, with core </w:t>
      </w:r>
      <w:r w:rsidR="004E0DAD" w:rsidRPr="00CD15B2">
        <w:rPr>
          <w:rFonts w:ascii="Arial" w:hAnsi="Arial" w:cs="Arial"/>
          <w:color w:val="000000" w:themeColor="text1"/>
          <w:sz w:val="22"/>
          <w:szCs w:val="22"/>
        </w:rPr>
        <w:t xml:space="preserve">features </w:t>
      </w:r>
      <w:r w:rsidR="00883548" w:rsidRPr="00CD15B2">
        <w:rPr>
          <w:rFonts w:ascii="Arial" w:hAnsi="Arial" w:cs="Arial"/>
          <w:color w:val="000000" w:themeColor="text1"/>
          <w:sz w:val="22"/>
          <w:szCs w:val="22"/>
        </w:rPr>
        <w:t xml:space="preserve">conserved between mice and sheep. </w:t>
      </w:r>
      <w:r w:rsidR="00954771" w:rsidRPr="00CD15B2">
        <w:rPr>
          <w:rFonts w:ascii="Arial" w:hAnsi="Arial" w:cs="Arial"/>
          <w:color w:val="000000" w:themeColor="text1"/>
          <w:sz w:val="22"/>
          <w:szCs w:val="22"/>
        </w:rPr>
        <w:t xml:space="preserve">We show this is established in </w:t>
      </w:r>
      <w:proofErr w:type="spellStart"/>
      <w:r w:rsidR="00954771" w:rsidRPr="00CD15B2">
        <w:rPr>
          <w:rFonts w:ascii="Arial" w:hAnsi="Arial" w:cs="Arial"/>
          <w:color w:val="000000" w:themeColor="text1"/>
          <w:sz w:val="22"/>
          <w:szCs w:val="22"/>
        </w:rPr>
        <w:t>fetal</w:t>
      </w:r>
      <w:proofErr w:type="spellEnd"/>
      <w:r w:rsidR="00954771" w:rsidRPr="00CD15B2">
        <w:rPr>
          <w:rFonts w:ascii="Arial" w:hAnsi="Arial" w:cs="Arial"/>
          <w:color w:val="000000" w:themeColor="text1"/>
          <w:sz w:val="22"/>
          <w:szCs w:val="22"/>
        </w:rPr>
        <w:t xml:space="preserve"> life and</w:t>
      </w:r>
      <w:r w:rsidR="00883548" w:rsidRPr="00CD15B2">
        <w:rPr>
          <w:rFonts w:ascii="Arial" w:hAnsi="Arial" w:cs="Arial"/>
          <w:color w:val="000000" w:themeColor="text1"/>
          <w:sz w:val="22"/>
          <w:szCs w:val="22"/>
        </w:rPr>
        <w:t xml:space="preserve"> increases with</w:t>
      </w:r>
      <w:r w:rsidR="004E0DAD" w:rsidRPr="00CD15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83548" w:rsidRPr="00CD15B2">
        <w:rPr>
          <w:rFonts w:ascii="Arial" w:hAnsi="Arial" w:cs="Arial"/>
          <w:color w:val="000000" w:themeColor="text1"/>
          <w:sz w:val="22"/>
          <w:szCs w:val="22"/>
        </w:rPr>
        <w:t xml:space="preserve">maturation of CB function, </w:t>
      </w:r>
      <w:r w:rsidR="00954771" w:rsidRPr="00CD15B2">
        <w:rPr>
          <w:rFonts w:ascii="Arial" w:hAnsi="Arial" w:cs="Arial"/>
          <w:color w:val="000000" w:themeColor="text1"/>
          <w:sz w:val="22"/>
          <w:szCs w:val="22"/>
        </w:rPr>
        <w:t xml:space="preserve">along with </w:t>
      </w:r>
      <w:r w:rsidR="00166270">
        <w:rPr>
          <w:rFonts w:ascii="Arial" w:hAnsi="Arial" w:cs="Arial"/>
          <w:color w:val="000000" w:themeColor="text1"/>
          <w:sz w:val="22"/>
          <w:szCs w:val="22"/>
        </w:rPr>
        <w:t>other</w:t>
      </w:r>
      <w:r w:rsidR="00954771" w:rsidRPr="00CD15B2">
        <w:rPr>
          <w:rFonts w:ascii="Arial" w:hAnsi="Arial" w:cs="Arial"/>
          <w:color w:val="000000" w:themeColor="text1"/>
          <w:sz w:val="22"/>
          <w:szCs w:val="22"/>
        </w:rPr>
        <w:t xml:space="preserve"> gene</w:t>
      </w:r>
      <w:r w:rsidR="00F52F5A">
        <w:rPr>
          <w:rFonts w:ascii="Arial" w:hAnsi="Arial" w:cs="Arial"/>
          <w:color w:val="000000" w:themeColor="text1"/>
          <w:sz w:val="22"/>
          <w:szCs w:val="22"/>
        </w:rPr>
        <w:t xml:space="preserve"> expression changes</w:t>
      </w:r>
      <w:r w:rsidR="00954771" w:rsidRPr="00CD15B2">
        <w:rPr>
          <w:rFonts w:ascii="Arial" w:hAnsi="Arial" w:cs="Arial"/>
          <w:color w:val="000000" w:themeColor="text1"/>
          <w:sz w:val="22"/>
          <w:szCs w:val="22"/>
        </w:rPr>
        <w:t xml:space="preserve"> that suggest a potential role for lipids in hypoxia signal transduction</w:t>
      </w:r>
      <w:r w:rsidR="00C7405A" w:rsidRPr="00CD15B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44B76D5" w14:textId="05183E19" w:rsidR="00A24EC9" w:rsidRPr="00CD15B2" w:rsidRDefault="00A24EC9" w:rsidP="00B827F0">
      <w:pPr>
        <w:pStyle w:val="NormalWeb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049E273" w14:textId="21343BF6" w:rsidR="009358DD" w:rsidRPr="00F52F5A" w:rsidRDefault="00A24EC9" w:rsidP="00F52F5A">
      <w:pPr>
        <w:pStyle w:val="NormalWeb"/>
        <w:contextualSpacing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Supported by</w:t>
      </w:r>
      <w:r w:rsidR="00195010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the </w:t>
      </w:r>
      <w:proofErr w:type="spellStart"/>
      <w:r w:rsidR="00195010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>Wellcome</w:t>
      </w:r>
      <w:proofErr w:type="spellEnd"/>
      <w:r w:rsidR="00195010" w:rsidRPr="00CD15B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Trust</w:t>
      </w:r>
    </w:p>
    <w:p w14:paraId="0F885806" w14:textId="77777777" w:rsidR="009358DD" w:rsidRPr="00314441" w:rsidRDefault="009358DD">
      <w:pPr>
        <w:rPr>
          <w:color w:val="000000" w:themeColor="text1"/>
        </w:rPr>
      </w:pPr>
    </w:p>
    <w:p w14:paraId="080FE793" w14:textId="77777777" w:rsidR="00835920" w:rsidRPr="00314441" w:rsidRDefault="00835920">
      <w:pPr>
        <w:rPr>
          <w:rFonts w:ascii="Calibri" w:hAnsi="Calibri" w:cs="Calibri"/>
          <w:color w:val="000000" w:themeColor="text1"/>
        </w:rPr>
      </w:pPr>
    </w:p>
    <w:p w14:paraId="4F10B95C" w14:textId="4CD33389" w:rsidR="00DB65CC" w:rsidRPr="00314441" w:rsidRDefault="00DB65CC" w:rsidP="00504EE5">
      <w:pPr>
        <w:pStyle w:val="NormalWeb"/>
        <w:rPr>
          <w:rFonts w:ascii="Segoe UI" w:hAnsi="Segoe UI" w:cs="Segoe UI"/>
          <w:color w:val="000000" w:themeColor="text1"/>
          <w:shd w:val="clear" w:color="auto" w:fill="FFFFFF"/>
        </w:rPr>
      </w:pPr>
    </w:p>
    <w:p w14:paraId="569128A3" w14:textId="77777777" w:rsidR="00DB65CC" w:rsidRPr="002A230C" w:rsidRDefault="00DB65CC" w:rsidP="00504EE5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1792F838" w14:textId="77777777" w:rsidR="00504EE5" w:rsidRDefault="00504EE5"/>
    <w:sectPr w:rsidR="0050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44DC2"/>
    <w:multiLevelType w:val="multilevel"/>
    <w:tmpl w:val="9F1A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1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1F"/>
    <w:rsid w:val="0002685E"/>
    <w:rsid w:val="000278BC"/>
    <w:rsid w:val="00030672"/>
    <w:rsid w:val="00052507"/>
    <w:rsid w:val="00115BC5"/>
    <w:rsid w:val="00133648"/>
    <w:rsid w:val="001447A5"/>
    <w:rsid w:val="00166270"/>
    <w:rsid w:val="00167DDC"/>
    <w:rsid w:val="00195010"/>
    <w:rsid w:val="001B379E"/>
    <w:rsid w:val="001C001F"/>
    <w:rsid w:val="001E4220"/>
    <w:rsid w:val="0020516C"/>
    <w:rsid w:val="00261676"/>
    <w:rsid w:val="002853D4"/>
    <w:rsid w:val="00295950"/>
    <w:rsid w:val="002A230C"/>
    <w:rsid w:val="002A5EDA"/>
    <w:rsid w:val="002D1313"/>
    <w:rsid w:val="002F75A0"/>
    <w:rsid w:val="00314441"/>
    <w:rsid w:val="0038388F"/>
    <w:rsid w:val="003A3FFA"/>
    <w:rsid w:val="003A6311"/>
    <w:rsid w:val="003E1CBB"/>
    <w:rsid w:val="003F3EF3"/>
    <w:rsid w:val="003F6084"/>
    <w:rsid w:val="00405FCB"/>
    <w:rsid w:val="00410F94"/>
    <w:rsid w:val="004170B0"/>
    <w:rsid w:val="00436EB5"/>
    <w:rsid w:val="00483791"/>
    <w:rsid w:val="004A25A7"/>
    <w:rsid w:val="004C31AE"/>
    <w:rsid w:val="004E0DAD"/>
    <w:rsid w:val="004F71E5"/>
    <w:rsid w:val="00504EE5"/>
    <w:rsid w:val="0050724E"/>
    <w:rsid w:val="005447B0"/>
    <w:rsid w:val="0055100F"/>
    <w:rsid w:val="00562150"/>
    <w:rsid w:val="00570743"/>
    <w:rsid w:val="00595FBF"/>
    <w:rsid w:val="005A0D44"/>
    <w:rsid w:val="005B4357"/>
    <w:rsid w:val="005C3AD8"/>
    <w:rsid w:val="0068732F"/>
    <w:rsid w:val="00725CCC"/>
    <w:rsid w:val="00731E39"/>
    <w:rsid w:val="0074678E"/>
    <w:rsid w:val="00781A0F"/>
    <w:rsid w:val="007914DD"/>
    <w:rsid w:val="008040EB"/>
    <w:rsid w:val="00807A40"/>
    <w:rsid w:val="00832AF8"/>
    <w:rsid w:val="00835920"/>
    <w:rsid w:val="008548B3"/>
    <w:rsid w:val="008571C3"/>
    <w:rsid w:val="0087435B"/>
    <w:rsid w:val="00883548"/>
    <w:rsid w:val="008950F0"/>
    <w:rsid w:val="008C5701"/>
    <w:rsid w:val="008F176B"/>
    <w:rsid w:val="009358DD"/>
    <w:rsid w:val="00954771"/>
    <w:rsid w:val="009C1D41"/>
    <w:rsid w:val="009C551E"/>
    <w:rsid w:val="009F2B1D"/>
    <w:rsid w:val="00A0434F"/>
    <w:rsid w:val="00A24EC9"/>
    <w:rsid w:val="00A821F2"/>
    <w:rsid w:val="00A94EA5"/>
    <w:rsid w:val="00AF07D8"/>
    <w:rsid w:val="00B03E88"/>
    <w:rsid w:val="00B34E14"/>
    <w:rsid w:val="00B5261D"/>
    <w:rsid w:val="00B53D80"/>
    <w:rsid w:val="00B827F0"/>
    <w:rsid w:val="00B851CB"/>
    <w:rsid w:val="00BD1DA8"/>
    <w:rsid w:val="00C6560E"/>
    <w:rsid w:val="00C7405A"/>
    <w:rsid w:val="00C775BF"/>
    <w:rsid w:val="00CA2CEB"/>
    <w:rsid w:val="00CA3FF4"/>
    <w:rsid w:val="00CB48A5"/>
    <w:rsid w:val="00CB76B1"/>
    <w:rsid w:val="00CD15B2"/>
    <w:rsid w:val="00CD5A83"/>
    <w:rsid w:val="00D17416"/>
    <w:rsid w:val="00D4401B"/>
    <w:rsid w:val="00D57386"/>
    <w:rsid w:val="00D83917"/>
    <w:rsid w:val="00DB65CC"/>
    <w:rsid w:val="00E439CD"/>
    <w:rsid w:val="00E55FCB"/>
    <w:rsid w:val="00E65CE3"/>
    <w:rsid w:val="00EB34C2"/>
    <w:rsid w:val="00EB57D0"/>
    <w:rsid w:val="00F01038"/>
    <w:rsid w:val="00F264B1"/>
    <w:rsid w:val="00F52F5A"/>
    <w:rsid w:val="00F8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060860"/>
  <w15:chartTrackingRefBased/>
  <w15:docId w15:val="{9AD649D0-A4E0-C54E-8617-8B59D344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25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2D1313"/>
    <w:pPr>
      <w:ind w:left="720"/>
      <w:contextualSpacing/>
    </w:pPr>
  </w:style>
  <w:style w:type="paragraph" w:styleId="Revision">
    <w:name w:val="Revision"/>
    <w:hidden/>
    <w:uiPriority w:val="99"/>
    <w:semiHidden/>
    <w:rsid w:val="00B827F0"/>
  </w:style>
  <w:style w:type="character" w:styleId="CommentReference">
    <w:name w:val="annotation reference"/>
    <w:basedOn w:val="DefaultParagraphFont"/>
    <w:uiPriority w:val="99"/>
    <w:semiHidden/>
    <w:unhideWhenUsed/>
    <w:rsid w:val="00B82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7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7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7F0"/>
    <w:rPr>
      <w:b/>
      <w:bCs/>
      <w:sz w:val="20"/>
      <w:szCs w:val="20"/>
    </w:rPr>
  </w:style>
  <w:style w:type="character" w:customStyle="1" w:styleId="period">
    <w:name w:val="period"/>
    <w:basedOn w:val="DefaultParagraphFont"/>
    <w:rsid w:val="00835920"/>
  </w:style>
  <w:style w:type="character" w:customStyle="1" w:styleId="cit">
    <w:name w:val="cit"/>
    <w:basedOn w:val="DefaultParagraphFont"/>
    <w:rsid w:val="00835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8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5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0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4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5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7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3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4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5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9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Hodson</dc:creator>
  <cp:keywords/>
  <dc:description/>
  <cp:lastModifiedBy>Emma Hodson</cp:lastModifiedBy>
  <cp:revision>2</cp:revision>
  <cp:lastPrinted>2023-10-04T09:16:00Z</cp:lastPrinted>
  <dcterms:created xsi:type="dcterms:W3CDTF">2024-04-05T09:17:00Z</dcterms:created>
  <dcterms:modified xsi:type="dcterms:W3CDTF">2024-04-05T09:17:00Z</dcterms:modified>
</cp:coreProperties>
</file>