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2478C" w14:textId="7CCD02C7" w:rsidR="00D174A3" w:rsidRPr="00644EB2" w:rsidRDefault="00D174A3" w:rsidP="00B9345A">
      <w:pPr>
        <w:snapToGrid w:val="0"/>
        <w:rPr>
          <w:rFonts w:ascii="Arial" w:hAnsi="Arial" w:cs="Arial"/>
          <w:sz w:val="22"/>
          <w:szCs w:val="22"/>
          <w:lang w:val="en-GB"/>
        </w:rPr>
      </w:pPr>
      <w:r w:rsidRPr="00644EB2">
        <w:rPr>
          <w:rFonts w:ascii="Arial" w:hAnsi="Arial" w:cs="Arial"/>
          <w:b/>
          <w:bCs/>
          <w:sz w:val="22"/>
          <w:szCs w:val="22"/>
          <w:lang w:val="en-GB"/>
        </w:rPr>
        <w:t>Hypoxia reinforces tumo</w:t>
      </w:r>
      <w:r w:rsidR="00031C83" w:rsidRPr="00644EB2">
        <w:rPr>
          <w:rFonts w:ascii="Arial" w:hAnsi="Arial" w:cs="Arial"/>
          <w:b/>
          <w:bCs/>
          <w:sz w:val="22"/>
          <w:szCs w:val="22"/>
          <w:lang w:val="en-GB"/>
        </w:rPr>
        <w:t>u</w:t>
      </w:r>
      <w:r w:rsidRPr="00644EB2">
        <w:rPr>
          <w:rFonts w:ascii="Arial" w:hAnsi="Arial" w:cs="Arial"/>
          <w:b/>
          <w:bCs/>
          <w:sz w:val="22"/>
          <w:szCs w:val="22"/>
          <w:lang w:val="en-GB"/>
        </w:rPr>
        <w:t xml:space="preserve">r microevolution and therapy resistance by promoting </w:t>
      </w:r>
      <w:r w:rsidR="00031C83" w:rsidRPr="00644EB2">
        <w:rPr>
          <w:rFonts w:ascii="Arial" w:hAnsi="Arial" w:cs="Arial"/>
          <w:b/>
          <w:bCs/>
          <w:sz w:val="22"/>
          <w:szCs w:val="22"/>
          <w:lang w:val="en-GB"/>
        </w:rPr>
        <w:br/>
      </w:r>
      <w:r w:rsidR="00956C9B" w:rsidRPr="00956C9B">
        <w:rPr>
          <w:rFonts w:ascii="Arial" w:hAnsi="Arial" w:cs="Arial"/>
          <w:b/>
          <w:bCs/>
          <w:sz w:val="22"/>
          <w:szCs w:val="22"/>
          <w:lang w:val="en-GB"/>
        </w:rPr>
        <w:t>CA</w:t>
      </w:r>
      <w:r w:rsidRPr="00956C9B">
        <w:rPr>
          <w:rFonts w:ascii="Arial" w:hAnsi="Arial" w:cs="Arial"/>
          <w:b/>
          <w:bCs/>
          <w:sz w:val="22"/>
          <w:szCs w:val="22"/>
          <w:lang w:val="en-GB"/>
        </w:rPr>
        <w:t>9</w:t>
      </w:r>
      <w:r w:rsidRPr="00644EB2">
        <w:rPr>
          <w:rFonts w:ascii="Arial" w:hAnsi="Arial" w:cs="Arial"/>
          <w:b/>
          <w:bCs/>
          <w:sz w:val="22"/>
          <w:szCs w:val="22"/>
          <w:lang w:val="en-GB"/>
        </w:rPr>
        <w:t>-mediated formation of cell-in-cell structures</w:t>
      </w:r>
      <w:r w:rsidRPr="00644EB2">
        <w:rPr>
          <w:rFonts w:ascii="Arial" w:hAnsi="Arial" w:cs="Arial"/>
          <w:sz w:val="22"/>
          <w:szCs w:val="22"/>
          <w:lang w:val="en-GB"/>
        </w:rPr>
        <w:t xml:space="preserve"> </w:t>
      </w:r>
    </w:p>
    <w:p w14:paraId="459F8E8A" w14:textId="77777777" w:rsidR="00D174A3" w:rsidRPr="00644EB2" w:rsidRDefault="00D174A3" w:rsidP="00B9345A">
      <w:pPr>
        <w:snapToGrid w:val="0"/>
        <w:rPr>
          <w:rFonts w:ascii="Arial" w:hAnsi="Arial" w:cs="Arial"/>
          <w:sz w:val="22"/>
          <w:szCs w:val="22"/>
          <w:lang w:val="en-GB"/>
        </w:rPr>
      </w:pPr>
    </w:p>
    <w:p w14:paraId="152C2551" w14:textId="068A296A" w:rsidR="00D174A3" w:rsidRPr="00644EB2" w:rsidRDefault="00D174A3" w:rsidP="00B9345A">
      <w:pPr>
        <w:snapToGrid w:val="0"/>
        <w:rPr>
          <w:rFonts w:ascii="Arial" w:hAnsi="Arial" w:cs="Arial"/>
          <w:sz w:val="22"/>
          <w:szCs w:val="22"/>
          <w:lang w:val="en-GB"/>
        </w:rPr>
      </w:pPr>
      <w:r w:rsidRPr="00644EB2">
        <w:rPr>
          <w:rFonts w:ascii="Arial" w:hAnsi="Arial" w:cs="Arial"/>
          <w:sz w:val="22"/>
          <w:szCs w:val="22"/>
          <w:lang w:val="en-GB"/>
        </w:rPr>
        <w:t xml:space="preserve">Martina </w:t>
      </w:r>
      <w:proofErr w:type="spellStart"/>
      <w:r w:rsidRPr="00644EB2">
        <w:rPr>
          <w:rFonts w:ascii="Arial" w:hAnsi="Arial" w:cs="Arial"/>
          <w:sz w:val="22"/>
          <w:szCs w:val="22"/>
          <w:lang w:val="en-GB"/>
        </w:rPr>
        <w:t>Takacova</w:t>
      </w:r>
      <w:proofErr w:type="spellEnd"/>
      <w:r w:rsidRPr="00644EB2">
        <w:rPr>
          <w:rFonts w:ascii="Arial" w:hAnsi="Arial" w:cs="Arial"/>
          <w:sz w:val="22"/>
          <w:szCs w:val="22"/>
          <w:lang w:val="en-GB"/>
        </w:rPr>
        <w:t xml:space="preserve">, Tereza </w:t>
      </w:r>
      <w:proofErr w:type="spellStart"/>
      <w:r w:rsidRPr="00644EB2">
        <w:rPr>
          <w:rFonts w:ascii="Arial" w:hAnsi="Arial" w:cs="Arial"/>
          <w:sz w:val="22"/>
          <w:szCs w:val="22"/>
          <w:lang w:val="en-GB"/>
        </w:rPr>
        <w:t>Golias</w:t>
      </w:r>
      <w:proofErr w:type="spellEnd"/>
      <w:r w:rsidRPr="00644EB2">
        <w:rPr>
          <w:rFonts w:ascii="Arial" w:hAnsi="Arial" w:cs="Arial"/>
          <w:sz w:val="22"/>
          <w:szCs w:val="22"/>
          <w:lang w:val="en-GB"/>
        </w:rPr>
        <w:t xml:space="preserve">, Jana </w:t>
      </w:r>
      <w:proofErr w:type="spellStart"/>
      <w:r w:rsidRPr="00644EB2">
        <w:rPr>
          <w:rFonts w:ascii="Arial" w:hAnsi="Arial" w:cs="Arial"/>
          <w:sz w:val="22"/>
          <w:szCs w:val="22"/>
          <w:lang w:val="en-GB"/>
        </w:rPr>
        <w:t>Lapinova</w:t>
      </w:r>
      <w:proofErr w:type="spellEnd"/>
      <w:r w:rsidRPr="00644EB2">
        <w:rPr>
          <w:rFonts w:ascii="Arial" w:hAnsi="Arial" w:cs="Arial"/>
          <w:sz w:val="22"/>
          <w:szCs w:val="22"/>
          <w:lang w:val="en-GB"/>
        </w:rPr>
        <w:t xml:space="preserve">, </w:t>
      </w:r>
      <w:r w:rsidR="00634F6F" w:rsidRPr="00956C9B">
        <w:rPr>
          <w:rFonts w:ascii="Arial" w:hAnsi="Arial" w:cs="Arial"/>
          <w:sz w:val="22"/>
          <w:szCs w:val="22"/>
          <w:lang w:val="en-GB"/>
        </w:rPr>
        <w:t>Ivana</w:t>
      </w:r>
      <w:r w:rsidR="00634F6F" w:rsidRPr="00644EB2">
        <w:rPr>
          <w:rFonts w:ascii="Arial" w:hAnsi="Arial" w:cs="Arial"/>
          <w:sz w:val="22"/>
          <w:szCs w:val="22"/>
          <w:lang w:val="en-GB"/>
        </w:rPr>
        <w:t xml:space="preserve"> </w:t>
      </w:r>
      <w:proofErr w:type="spellStart"/>
      <w:r w:rsidR="00634F6F" w:rsidRPr="00644EB2">
        <w:rPr>
          <w:rFonts w:ascii="Arial" w:hAnsi="Arial" w:cs="Arial"/>
          <w:sz w:val="22"/>
          <w:szCs w:val="22"/>
          <w:lang w:val="en-GB"/>
        </w:rPr>
        <w:t>Kajanova</w:t>
      </w:r>
      <w:proofErr w:type="spellEnd"/>
      <w:r w:rsidR="00634F6F" w:rsidRPr="00644EB2">
        <w:rPr>
          <w:rFonts w:ascii="Arial" w:hAnsi="Arial" w:cs="Arial"/>
          <w:sz w:val="22"/>
          <w:szCs w:val="22"/>
          <w:lang w:val="en-GB"/>
        </w:rPr>
        <w:t xml:space="preserve">, </w:t>
      </w:r>
      <w:r w:rsidR="00892A2C" w:rsidRPr="00956C9B">
        <w:rPr>
          <w:rFonts w:ascii="Arial" w:hAnsi="Arial" w:cs="Arial"/>
          <w:sz w:val="22"/>
          <w:szCs w:val="22"/>
          <w:lang w:val="en-GB"/>
        </w:rPr>
        <w:t xml:space="preserve">Lucia </w:t>
      </w:r>
      <w:proofErr w:type="spellStart"/>
      <w:r w:rsidR="00892A2C" w:rsidRPr="00956C9B">
        <w:rPr>
          <w:rFonts w:ascii="Arial" w:hAnsi="Arial" w:cs="Arial"/>
          <w:sz w:val="22"/>
          <w:szCs w:val="22"/>
          <w:lang w:val="en-GB"/>
        </w:rPr>
        <w:t>Csaderova</w:t>
      </w:r>
      <w:proofErr w:type="spellEnd"/>
      <w:r w:rsidR="00892A2C" w:rsidRPr="00956C9B">
        <w:rPr>
          <w:rFonts w:ascii="Arial" w:hAnsi="Arial" w:cs="Arial"/>
          <w:sz w:val="22"/>
          <w:szCs w:val="22"/>
          <w:lang w:val="en-GB"/>
        </w:rPr>
        <w:t xml:space="preserve">, </w:t>
      </w:r>
      <w:r w:rsidR="00634F6F">
        <w:rPr>
          <w:rFonts w:ascii="Arial" w:hAnsi="Arial" w:cs="Arial"/>
          <w:sz w:val="22"/>
          <w:szCs w:val="22"/>
          <w:lang w:val="en-GB"/>
        </w:rPr>
        <w:t xml:space="preserve">Monika </w:t>
      </w:r>
      <w:proofErr w:type="spellStart"/>
      <w:r w:rsidR="00634F6F">
        <w:rPr>
          <w:rFonts w:ascii="Arial" w:hAnsi="Arial" w:cs="Arial"/>
          <w:sz w:val="22"/>
          <w:szCs w:val="22"/>
          <w:lang w:val="en-GB"/>
        </w:rPr>
        <w:t>Barathova</w:t>
      </w:r>
      <w:proofErr w:type="spellEnd"/>
      <w:r w:rsidR="00634F6F">
        <w:rPr>
          <w:rFonts w:ascii="Arial" w:hAnsi="Arial" w:cs="Arial"/>
          <w:sz w:val="22"/>
          <w:szCs w:val="22"/>
          <w:lang w:val="en-GB"/>
        </w:rPr>
        <w:t xml:space="preserve">, </w:t>
      </w:r>
      <w:r w:rsidRPr="00644EB2">
        <w:rPr>
          <w:rFonts w:ascii="Arial" w:hAnsi="Arial" w:cs="Arial"/>
          <w:sz w:val="22"/>
          <w:szCs w:val="22"/>
          <w:lang w:val="en-GB"/>
        </w:rPr>
        <w:t xml:space="preserve">Miriam </w:t>
      </w:r>
      <w:proofErr w:type="spellStart"/>
      <w:r w:rsidRPr="00644EB2">
        <w:rPr>
          <w:rFonts w:ascii="Arial" w:hAnsi="Arial" w:cs="Arial"/>
          <w:sz w:val="22"/>
          <w:szCs w:val="22"/>
          <w:lang w:val="en-GB"/>
        </w:rPr>
        <w:t>Zatovicova</w:t>
      </w:r>
      <w:proofErr w:type="spellEnd"/>
      <w:r w:rsidRPr="00644EB2">
        <w:rPr>
          <w:rFonts w:ascii="Arial" w:hAnsi="Arial" w:cs="Arial"/>
          <w:sz w:val="22"/>
          <w:szCs w:val="22"/>
          <w:lang w:val="en-GB"/>
        </w:rPr>
        <w:t xml:space="preserve"> a </w:t>
      </w:r>
      <w:r w:rsidRPr="00644EB2">
        <w:rPr>
          <w:rFonts w:ascii="Arial" w:hAnsi="Arial" w:cs="Arial"/>
          <w:sz w:val="22"/>
          <w:szCs w:val="22"/>
          <w:u w:val="single"/>
          <w:lang w:val="en-GB"/>
        </w:rPr>
        <w:t>Silvia Pastorekova</w:t>
      </w:r>
    </w:p>
    <w:p w14:paraId="59A05E74" w14:textId="77777777" w:rsidR="00374DC6" w:rsidRPr="00644EB2" w:rsidRDefault="00374DC6" w:rsidP="00B9345A">
      <w:pPr>
        <w:snapToGrid w:val="0"/>
        <w:rPr>
          <w:rFonts w:ascii="Arial" w:hAnsi="Arial" w:cs="Arial"/>
          <w:sz w:val="22"/>
          <w:szCs w:val="22"/>
          <w:lang w:val="en-GB"/>
        </w:rPr>
      </w:pPr>
    </w:p>
    <w:p w14:paraId="785473A9" w14:textId="31CF13AD" w:rsidR="00D174A3" w:rsidRDefault="00D174A3" w:rsidP="00B9345A">
      <w:pPr>
        <w:snapToGrid w:val="0"/>
        <w:rPr>
          <w:rFonts w:ascii="Arial" w:hAnsi="Arial" w:cs="Arial"/>
          <w:sz w:val="22"/>
          <w:szCs w:val="22"/>
          <w:lang w:val="en-GB"/>
        </w:rPr>
      </w:pPr>
      <w:r w:rsidRPr="00644EB2">
        <w:rPr>
          <w:rFonts w:ascii="Arial" w:hAnsi="Arial" w:cs="Arial"/>
          <w:sz w:val="22"/>
          <w:szCs w:val="22"/>
          <w:lang w:val="en-GB"/>
        </w:rPr>
        <w:t>Department of Tumo</w:t>
      </w:r>
      <w:r w:rsidR="00031C83" w:rsidRPr="00644EB2">
        <w:rPr>
          <w:rFonts w:ascii="Arial" w:hAnsi="Arial" w:cs="Arial"/>
          <w:sz w:val="22"/>
          <w:szCs w:val="22"/>
          <w:lang w:val="en-GB"/>
        </w:rPr>
        <w:t>u</w:t>
      </w:r>
      <w:r w:rsidRPr="00644EB2">
        <w:rPr>
          <w:rFonts w:ascii="Arial" w:hAnsi="Arial" w:cs="Arial"/>
          <w:sz w:val="22"/>
          <w:szCs w:val="22"/>
          <w:lang w:val="en-GB"/>
        </w:rPr>
        <w:t>r Biology, Biomedical Res</w:t>
      </w:r>
      <w:r w:rsidR="00031C83" w:rsidRPr="00644EB2">
        <w:rPr>
          <w:rFonts w:ascii="Arial" w:hAnsi="Arial" w:cs="Arial"/>
          <w:sz w:val="22"/>
          <w:szCs w:val="22"/>
          <w:lang w:val="en-GB"/>
        </w:rPr>
        <w:t>e</w:t>
      </w:r>
      <w:r w:rsidRPr="00644EB2">
        <w:rPr>
          <w:rFonts w:ascii="Arial" w:hAnsi="Arial" w:cs="Arial"/>
          <w:sz w:val="22"/>
          <w:szCs w:val="22"/>
          <w:lang w:val="en-GB"/>
        </w:rPr>
        <w:t xml:space="preserve">arch Centre, Slovak Academy of Sciences, </w:t>
      </w:r>
      <w:proofErr w:type="spellStart"/>
      <w:r w:rsidR="000B4147">
        <w:rPr>
          <w:rFonts w:ascii="Arial" w:hAnsi="Arial" w:cs="Arial"/>
          <w:sz w:val="22"/>
          <w:szCs w:val="22"/>
          <w:lang w:val="en-GB"/>
        </w:rPr>
        <w:t>Dubravska</w:t>
      </w:r>
      <w:proofErr w:type="spellEnd"/>
      <w:r w:rsidR="000B4147">
        <w:rPr>
          <w:rFonts w:ascii="Arial" w:hAnsi="Arial" w:cs="Arial"/>
          <w:sz w:val="22"/>
          <w:szCs w:val="22"/>
          <w:lang w:val="en-GB"/>
        </w:rPr>
        <w:t xml:space="preserve"> cesta 9, 845 05 </w:t>
      </w:r>
      <w:r w:rsidRPr="00644EB2">
        <w:rPr>
          <w:rFonts w:ascii="Arial" w:hAnsi="Arial" w:cs="Arial"/>
          <w:sz w:val="22"/>
          <w:szCs w:val="22"/>
          <w:lang w:val="en-GB"/>
        </w:rPr>
        <w:t>Brati</w:t>
      </w:r>
      <w:r w:rsidR="00031C83" w:rsidRPr="00644EB2">
        <w:rPr>
          <w:rFonts w:ascii="Arial" w:hAnsi="Arial" w:cs="Arial"/>
          <w:sz w:val="22"/>
          <w:szCs w:val="22"/>
          <w:lang w:val="en-GB"/>
        </w:rPr>
        <w:t>s</w:t>
      </w:r>
      <w:r w:rsidRPr="00644EB2">
        <w:rPr>
          <w:rFonts w:ascii="Arial" w:hAnsi="Arial" w:cs="Arial"/>
          <w:sz w:val="22"/>
          <w:szCs w:val="22"/>
          <w:lang w:val="en-GB"/>
        </w:rPr>
        <w:t>lava</w:t>
      </w:r>
      <w:r w:rsidR="000B4147">
        <w:rPr>
          <w:rFonts w:ascii="Arial" w:hAnsi="Arial" w:cs="Arial"/>
          <w:sz w:val="22"/>
          <w:szCs w:val="22"/>
          <w:lang w:val="en-GB"/>
        </w:rPr>
        <w:t>,</w:t>
      </w:r>
      <w:r w:rsidRPr="00644EB2">
        <w:rPr>
          <w:rFonts w:ascii="Arial" w:hAnsi="Arial" w:cs="Arial"/>
          <w:sz w:val="22"/>
          <w:szCs w:val="22"/>
          <w:lang w:val="en-GB"/>
        </w:rPr>
        <w:t xml:space="preserve"> Slovakia</w:t>
      </w:r>
      <w:r w:rsidR="000B4147">
        <w:rPr>
          <w:rFonts w:ascii="Arial" w:hAnsi="Arial" w:cs="Arial"/>
          <w:sz w:val="22"/>
          <w:szCs w:val="22"/>
          <w:lang w:val="en-GB"/>
        </w:rPr>
        <w:t xml:space="preserve"> </w:t>
      </w:r>
    </w:p>
    <w:p w14:paraId="5AE60D55" w14:textId="77777777" w:rsidR="00D174A3" w:rsidRPr="00644EB2" w:rsidRDefault="00D174A3" w:rsidP="00B9345A">
      <w:pPr>
        <w:snapToGrid w:val="0"/>
        <w:rPr>
          <w:rFonts w:ascii="Arial" w:hAnsi="Arial" w:cs="Arial"/>
          <w:sz w:val="22"/>
          <w:szCs w:val="22"/>
          <w:lang w:val="en-GB"/>
        </w:rPr>
      </w:pPr>
    </w:p>
    <w:p w14:paraId="449E10B6" w14:textId="3F605D6E" w:rsidR="009F584A" w:rsidRPr="00644EB2" w:rsidRDefault="00D174A3" w:rsidP="00A22B44">
      <w:pPr>
        <w:snapToGrid w:val="0"/>
        <w:jc w:val="both"/>
        <w:rPr>
          <w:rFonts w:ascii="Arial" w:hAnsi="Arial" w:cs="Arial"/>
          <w:sz w:val="22"/>
          <w:szCs w:val="22"/>
          <w:highlight w:val="yellow"/>
          <w:lang w:val="en-GB"/>
        </w:rPr>
      </w:pPr>
      <w:r w:rsidRPr="00644EB2">
        <w:rPr>
          <w:rFonts w:ascii="Arial" w:hAnsi="Arial" w:cs="Arial"/>
          <w:sz w:val="22"/>
          <w:szCs w:val="22"/>
          <w:lang w:val="en-GB"/>
        </w:rPr>
        <w:t>Cell-in-cell (CIC) structures have been observed in human tumo</w:t>
      </w:r>
      <w:r w:rsidR="00031C83" w:rsidRPr="00644EB2">
        <w:rPr>
          <w:rFonts w:ascii="Arial" w:hAnsi="Arial" w:cs="Arial"/>
          <w:sz w:val="22"/>
          <w:szCs w:val="22"/>
          <w:lang w:val="en-GB"/>
        </w:rPr>
        <w:t>u</w:t>
      </w:r>
      <w:r w:rsidRPr="00644EB2">
        <w:rPr>
          <w:rFonts w:ascii="Arial" w:hAnsi="Arial" w:cs="Arial"/>
          <w:sz w:val="22"/>
          <w:szCs w:val="22"/>
          <w:lang w:val="en-GB"/>
        </w:rPr>
        <w:t xml:space="preserve">rs for many decades, but their relevance to cancer progression remained unexplored for a long time. Recently emerging knowledge on </w:t>
      </w:r>
      <w:r w:rsidR="00644EB2" w:rsidRPr="00956C9B">
        <w:rPr>
          <w:rFonts w:ascii="Arial" w:hAnsi="Arial" w:cs="Arial"/>
          <w:sz w:val="22"/>
          <w:szCs w:val="22"/>
          <w:lang w:val="en-GB"/>
        </w:rPr>
        <w:t xml:space="preserve">the </w:t>
      </w:r>
      <w:r w:rsidRPr="00956C9B">
        <w:rPr>
          <w:rFonts w:ascii="Arial" w:hAnsi="Arial" w:cs="Arial"/>
          <w:sz w:val="22"/>
          <w:szCs w:val="22"/>
          <w:lang w:val="en-GB"/>
        </w:rPr>
        <w:t>molecular and functional aspects of CIC phenomena suggests their involvement in microevolutionary processes that occur in highly heterogeneous tumo</w:t>
      </w:r>
      <w:r w:rsidR="00031C83" w:rsidRPr="00956C9B">
        <w:rPr>
          <w:rFonts w:ascii="Arial" w:hAnsi="Arial" w:cs="Arial"/>
          <w:sz w:val="22"/>
          <w:szCs w:val="22"/>
          <w:lang w:val="en-GB"/>
        </w:rPr>
        <w:t>u</w:t>
      </w:r>
      <w:r w:rsidRPr="00956C9B">
        <w:rPr>
          <w:rFonts w:ascii="Arial" w:hAnsi="Arial" w:cs="Arial"/>
          <w:sz w:val="22"/>
          <w:szCs w:val="22"/>
          <w:lang w:val="en-GB"/>
        </w:rPr>
        <w:t xml:space="preserve">r tissues and lead to </w:t>
      </w:r>
      <w:r w:rsidR="004B7610" w:rsidRPr="00956C9B">
        <w:rPr>
          <w:rFonts w:ascii="Arial" w:hAnsi="Arial" w:cs="Arial"/>
          <w:sz w:val="22"/>
          <w:szCs w:val="22"/>
          <w:lang w:val="en-GB"/>
        </w:rPr>
        <w:t xml:space="preserve">the </w:t>
      </w:r>
      <w:r w:rsidRPr="00956C9B">
        <w:rPr>
          <w:rFonts w:ascii="Arial" w:hAnsi="Arial" w:cs="Arial"/>
          <w:sz w:val="22"/>
          <w:szCs w:val="22"/>
          <w:lang w:val="en-GB"/>
        </w:rPr>
        <w:t>selection of aggressive tumo</w:t>
      </w:r>
      <w:r w:rsidR="00031C83" w:rsidRPr="00956C9B">
        <w:rPr>
          <w:rFonts w:ascii="Arial" w:hAnsi="Arial" w:cs="Arial"/>
          <w:sz w:val="22"/>
          <w:szCs w:val="22"/>
          <w:lang w:val="en-GB"/>
        </w:rPr>
        <w:t>u</w:t>
      </w:r>
      <w:r w:rsidRPr="00956C9B">
        <w:rPr>
          <w:rFonts w:ascii="Arial" w:hAnsi="Arial" w:cs="Arial"/>
          <w:sz w:val="22"/>
          <w:szCs w:val="22"/>
          <w:lang w:val="en-GB"/>
        </w:rPr>
        <w:t xml:space="preserve">r cells [1]. </w:t>
      </w:r>
      <w:r w:rsidR="004B7610" w:rsidRPr="00956C9B">
        <w:rPr>
          <w:rFonts w:ascii="Arial" w:hAnsi="Arial" w:cs="Arial"/>
          <w:sz w:val="22"/>
          <w:szCs w:val="22"/>
          <w:lang w:val="en-GB"/>
        </w:rPr>
        <w:t>Previous</w:t>
      </w:r>
      <w:r w:rsidR="009F584A" w:rsidRPr="00956C9B">
        <w:rPr>
          <w:rFonts w:ascii="Arial" w:hAnsi="Arial" w:cs="Arial"/>
          <w:sz w:val="22"/>
          <w:szCs w:val="22"/>
          <w:lang w:val="en-GB"/>
        </w:rPr>
        <w:t xml:space="preserve"> studies </w:t>
      </w:r>
      <w:r w:rsidR="004B7610" w:rsidRPr="00956C9B">
        <w:rPr>
          <w:rFonts w:ascii="Arial" w:hAnsi="Arial" w:cs="Arial"/>
          <w:sz w:val="22"/>
          <w:szCs w:val="22"/>
          <w:lang w:val="en-GB"/>
        </w:rPr>
        <w:t xml:space="preserve">have revealed </w:t>
      </w:r>
      <w:r w:rsidR="00644EB2" w:rsidRPr="00956C9B">
        <w:rPr>
          <w:rFonts w:ascii="Arial" w:hAnsi="Arial" w:cs="Arial"/>
          <w:sz w:val="22"/>
          <w:szCs w:val="22"/>
          <w:lang w:val="en-GB"/>
        </w:rPr>
        <w:t xml:space="preserve">an </w:t>
      </w:r>
      <w:r w:rsidR="004B7610" w:rsidRPr="00956C9B">
        <w:rPr>
          <w:rFonts w:ascii="Arial" w:hAnsi="Arial" w:cs="Arial"/>
          <w:sz w:val="22"/>
          <w:szCs w:val="22"/>
          <w:lang w:val="en-GB"/>
        </w:rPr>
        <w:t>increased</w:t>
      </w:r>
      <w:r w:rsidR="009F584A" w:rsidRPr="00956C9B">
        <w:rPr>
          <w:rFonts w:ascii="Arial" w:hAnsi="Arial" w:cs="Arial"/>
          <w:sz w:val="22"/>
          <w:szCs w:val="22"/>
          <w:lang w:val="en-GB"/>
        </w:rPr>
        <w:t xml:space="preserve"> </w:t>
      </w:r>
      <w:r w:rsidR="004B7610" w:rsidRPr="00A22B44">
        <w:rPr>
          <w:rFonts w:ascii="Arial" w:hAnsi="Arial" w:cs="Arial"/>
          <w:sz w:val="22"/>
          <w:szCs w:val="22"/>
          <w:lang w:val="en-GB"/>
        </w:rPr>
        <w:t>frequency</w:t>
      </w:r>
      <w:r w:rsidR="009F584A" w:rsidRPr="00A22B44">
        <w:rPr>
          <w:rFonts w:ascii="Arial" w:hAnsi="Arial" w:cs="Arial"/>
          <w:sz w:val="22"/>
          <w:szCs w:val="22"/>
          <w:lang w:val="en-GB"/>
        </w:rPr>
        <w:t xml:space="preserve"> of CIC structures in different carcinomas</w:t>
      </w:r>
      <w:r w:rsidR="004B7610" w:rsidRPr="00A22B44">
        <w:rPr>
          <w:rFonts w:ascii="Arial" w:hAnsi="Arial" w:cs="Arial"/>
          <w:sz w:val="22"/>
          <w:szCs w:val="22"/>
          <w:lang w:val="en-GB"/>
        </w:rPr>
        <w:t xml:space="preserve"> (</w:t>
      </w:r>
      <w:r w:rsidR="009F584A" w:rsidRPr="00A22B44">
        <w:rPr>
          <w:rFonts w:ascii="Arial" w:hAnsi="Arial" w:cs="Arial"/>
          <w:sz w:val="22"/>
          <w:szCs w:val="22"/>
          <w:lang w:val="en-GB"/>
        </w:rPr>
        <w:t>e.g., lung, head and neck, and colorectal</w:t>
      </w:r>
      <w:r w:rsidR="004B7610" w:rsidRPr="00A22B44">
        <w:rPr>
          <w:rFonts w:ascii="Arial" w:hAnsi="Arial" w:cs="Arial"/>
          <w:sz w:val="22"/>
          <w:szCs w:val="22"/>
          <w:lang w:val="en-GB"/>
        </w:rPr>
        <w:t xml:space="preserve">) </w:t>
      </w:r>
      <w:r w:rsidR="00956C9B" w:rsidRPr="00A22B44">
        <w:rPr>
          <w:rFonts w:ascii="Arial" w:hAnsi="Arial" w:cs="Arial"/>
          <w:sz w:val="22"/>
          <w:szCs w:val="22"/>
          <w:lang w:val="en-GB"/>
        </w:rPr>
        <w:t>and supported their</w:t>
      </w:r>
      <w:r w:rsidR="004B7610" w:rsidRPr="00A22B44">
        <w:rPr>
          <w:rFonts w:ascii="Arial" w:hAnsi="Arial" w:cs="Arial"/>
          <w:sz w:val="22"/>
          <w:szCs w:val="22"/>
          <w:lang w:val="en-GB"/>
        </w:rPr>
        <w:t xml:space="preserve"> prognostic</w:t>
      </w:r>
      <w:r w:rsidR="004B7610" w:rsidRPr="00956C9B">
        <w:rPr>
          <w:rFonts w:ascii="Arial" w:hAnsi="Arial" w:cs="Arial"/>
          <w:sz w:val="22"/>
          <w:szCs w:val="22"/>
          <w:lang w:val="en-GB"/>
        </w:rPr>
        <w:t xml:space="preserve"> value for cancer patients [2]</w:t>
      </w:r>
      <w:r w:rsidR="009F584A" w:rsidRPr="00956C9B">
        <w:rPr>
          <w:rFonts w:ascii="Arial" w:hAnsi="Arial" w:cs="Arial"/>
          <w:sz w:val="22"/>
          <w:szCs w:val="22"/>
          <w:lang w:val="en-GB"/>
        </w:rPr>
        <w:t xml:space="preserve">. </w:t>
      </w:r>
      <w:r w:rsidRPr="00956C9B">
        <w:rPr>
          <w:rFonts w:ascii="Arial" w:hAnsi="Arial" w:cs="Arial"/>
          <w:sz w:val="22"/>
          <w:szCs w:val="22"/>
          <w:lang w:val="en-GB"/>
        </w:rPr>
        <w:t xml:space="preserve">Interestingly, </w:t>
      </w:r>
      <w:r w:rsidR="00644EB2" w:rsidRPr="00956C9B">
        <w:rPr>
          <w:rFonts w:ascii="Arial" w:hAnsi="Arial" w:cs="Arial"/>
          <w:sz w:val="22"/>
          <w:szCs w:val="22"/>
          <w:lang w:val="en-GB"/>
        </w:rPr>
        <w:t xml:space="preserve">the </w:t>
      </w:r>
      <w:r w:rsidRPr="00956C9B">
        <w:rPr>
          <w:rFonts w:ascii="Arial" w:hAnsi="Arial" w:cs="Arial"/>
          <w:sz w:val="22"/>
          <w:szCs w:val="22"/>
          <w:lang w:val="en-GB"/>
        </w:rPr>
        <w:t>newest</w:t>
      </w:r>
      <w:r w:rsidRPr="00644EB2">
        <w:rPr>
          <w:rFonts w:ascii="Arial" w:hAnsi="Arial" w:cs="Arial"/>
          <w:sz w:val="22"/>
          <w:szCs w:val="22"/>
          <w:lang w:val="en-GB"/>
        </w:rPr>
        <w:t xml:space="preserve"> data indicate that this biological process is a central mechanism through which tumo</w:t>
      </w:r>
      <w:r w:rsidR="00031C83" w:rsidRPr="00644EB2">
        <w:rPr>
          <w:rFonts w:ascii="Arial" w:hAnsi="Arial" w:cs="Arial"/>
          <w:sz w:val="22"/>
          <w:szCs w:val="22"/>
          <w:lang w:val="en-GB"/>
        </w:rPr>
        <w:t>u</w:t>
      </w:r>
      <w:r w:rsidRPr="00644EB2">
        <w:rPr>
          <w:rFonts w:ascii="Arial" w:hAnsi="Arial" w:cs="Arial"/>
          <w:sz w:val="22"/>
          <w:szCs w:val="22"/>
          <w:lang w:val="en-GB"/>
        </w:rPr>
        <w:t>r cells escape T-cell immunity and give rise to relapsed tumo</w:t>
      </w:r>
      <w:r w:rsidR="00031C83" w:rsidRPr="00644EB2">
        <w:rPr>
          <w:rFonts w:ascii="Arial" w:hAnsi="Arial" w:cs="Arial"/>
          <w:sz w:val="22"/>
          <w:szCs w:val="22"/>
          <w:lang w:val="en-GB"/>
        </w:rPr>
        <w:t>u</w:t>
      </w:r>
      <w:r w:rsidRPr="00644EB2">
        <w:rPr>
          <w:rFonts w:ascii="Arial" w:hAnsi="Arial" w:cs="Arial"/>
          <w:sz w:val="22"/>
          <w:szCs w:val="22"/>
          <w:lang w:val="en-GB"/>
        </w:rPr>
        <w:t>rs [</w:t>
      </w:r>
      <w:r w:rsidR="004B7610" w:rsidRPr="00644EB2">
        <w:rPr>
          <w:rFonts w:ascii="Arial" w:hAnsi="Arial" w:cs="Arial"/>
          <w:sz w:val="22"/>
          <w:szCs w:val="22"/>
          <w:lang w:val="en-GB"/>
        </w:rPr>
        <w:t>3</w:t>
      </w:r>
      <w:r w:rsidRPr="00644EB2">
        <w:rPr>
          <w:rFonts w:ascii="Arial" w:hAnsi="Arial" w:cs="Arial"/>
          <w:sz w:val="22"/>
          <w:szCs w:val="22"/>
          <w:lang w:val="en-GB"/>
        </w:rPr>
        <w:t>]. In principle, CIC structures form either when tumo</w:t>
      </w:r>
      <w:r w:rsidR="00031C83" w:rsidRPr="00644EB2">
        <w:rPr>
          <w:rFonts w:ascii="Arial" w:hAnsi="Arial" w:cs="Arial"/>
          <w:sz w:val="22"/>
          <w:szCs w:val="22"/>
          <w:lang w:val="en-GB"/>
        </w:rPr>
        <w:t>u</w:t>
      </w:r>
      <w:r w:rsidRPr="00644EB2">
        <w:rPr>
          <w:rFonts w:ascii="Arial" w:hAnsi="Arial" w:cs="Arial"/>
          <w:sz w:val="22"/>
          <w:szCs w:val="22"/>
          <w:lang w:val="en-GB"/>
        </w:rPr>
        <w:t>r cells engulf one or more viable cells to gain nutrients in periods of starvation or when tumo</w:t>
      </w:r>
      <w:r w:rsidR="00031C83" w:rsidRPr="00644EB2">
        <w:rPr>
          <w:rFonts w:ascii="Arial" w:hAnsi="Arial" w:cs="Arial"/>
          <w:sz w:val="22"/>
          <w:szCs w:val="22"/>
          <w:lang w:val="en-GB"/>
        </w:rPr>
        <w:t>u</w:t>
      </w:r>
      <w:r w:rsidRPr="00644EB2">
        <w:rPr>
          <w:rFonts w:ascii="Arial" w:hAnsi="Arial" w:cs="Arial"/>
          <w:sz w:val="22"/>
          <w:szCs w:val="22"/>
          <w:lang w:val="en-GB"/>
        </w:rPr>
        <w:t>r cells actively invade other tumo</w:t>
      </w:r>
      <w:r w:rsidR="00031C83" w:rsidRPr="00644EB2">
        <w:rPr>
          <w:rFonts w:ascii="Arial" w:hAnsi="Arial" w:cs="Arial"/>
          <w:sz w:val="22"/>
          <w:szCs w:val="22"/>
          <w:lang w:val="en-GB"/>
        </w:rPr>
        <w:t>u</w:t>
      </w:r>
      <w:r w:rsidRPr="00644EB2">
        <w:rPr>
          <w:rFonts w:ascii="Arial" w:hAnsi="Arial" w:cs="Arial"/>
          <w:sz w:val="22"/>
          <w:szCs w:val="22"/>
          <w:lang w:val="en-GB"/>
        </w:rPr>
        <w:t>r cel</w:t>
      </w:r>
      <w:r w:rsidR="00B9345A">
        <w:rPr>
          <w:rFonts w:ascii="Arial" w:hAnsi="Arial" w:cs="Arial"/>
          <w:sz w:val="22"/>
          <w:szCs w:val="22"/>
          <w:lang w:val="en-GB"/>
        </w:rPr>
        <w:t>ls</w:t>
      </w:r>
      <w:r w:rsidRPr="00644EB2">
        <w:rPr>
          <w:rFonts w:ascii="Arial" w:hAnsi="Arial" w:cs="Arial"/>
          <w:sz w:val="22"/>
          <w:szCs w:val="22"/>
          <w:lang w:val="en-GB"/>
        </w:rPr>
        <w:t xml:space="preserve"> to hide and escape killing by therapy. Generally, CIC structures develop in response to stress signals. Since hypoxia is a key stress factor present in the microenvironment of most solid tumo</w:t>
      </w:r>
      <w:r w:rsidR="00031C83" w:rsidRPr="00644EB2">
        <w:rPr>
          <w:rFonts w:ascii="Arial" w:hAnsi="Arial" w:cs="Arial"/>
          <w:sz w:val="22"/>
          <w:szCs w:val="22"/>
          <w:lang w:val="en-GB"/>
        </w:rPr>
        <w:t>u</w:t>
      </w:r>
      <w:r w:rsidRPr="00644EB2">
        <w:rPr>
          <w:rFonts w:ascii="Arial" w:hAnsi="Arial" w:cs="Arial"/>
          <w:sz w:val="22"/>
          <w:szCs w:val="22"/>
          <w:lang w:val="en-GB"/>
        </w:rPr>
        <w:t xml:space="preserve">rs, we aimed to investigate its role in promoting CIC formation and to </w:t>
      </w:r>
      <w:r w:rsidRPr="00956C9B">
        <w:rPr>
          <w:rFonts w:ascii="Arial" w:hAnsi="Arial" w:cs="Arial"/>
          <w:sz w:val="22"/>
          <w:szCs w:val="22"/>
          <w:lang w:val="en-GB"/>
        </w:rPr>
        <w:t xml:space="preserve">elucidate </w:t>
      </w:r>
      <w:r w:rsidR="00644EB2" w:rsidRPr="00956C9B">
        <w:rPr>
          <w:rFonts w:ascii="Arial" w:hAnsi="Arial" w:cs="Arial"/>
          <w:sz w:val="22"/>
          <w:szCs w:val="22"/>
          <w:lang w:val="en-GB"/>
        </w:rPr>
        <w:t xml:space="preserve">the </w:t>
      </w:r>
      <w:r w:rsidRPr="00956C9B">
        <w:rPr>
          <w:rFonts w:ascii="Arial" w:hAnsi="Arial" w:cs="Arial"/>
          <w:sz w:val="22"/>
          <w:szCs w:val="22"/>
          <w:lang w:val="en-GB"/>
        </w:rPr>
        <w:t>underlying molecular mechanism. Here we present the first experimental evidence that hypoxia can increase abundance of CIC structures in various cancer cell types. We also demonstrate that this effect is mediated by carbonic anhydrase 9</w:t>
      </w:r>
      <w:r w:rsidR="00B0592E" w:rsidRPr="00956C9B">
        <w:rPr>
          <w:rFonts w:ascii="Arial" w:hAnsi="Arial" w:cs="Arial"/>
          <w:sz w:val="22"/>
          <w:szCs w:val="22"/>
          <w:lang w:val="en-GB"/>
        </w:rPr>
        <w:t xml:space="preserve"> (CA9)</w:t>
      </w:r>
      <w:r w:rsidRPr="00956C9B">
        <w:rPr>
          <w:rFonts w:ascii="Arial" w:hAnsi="Arial" w:cs="Arial"/>
          <w:sz w:val="22"/>
          <w:szCs w:val="22"/>
          <w:lang w:val="en-GB"/>
        </w:rPr>
        <w:t>, which plays</w:t>
      </w:r>
      <w:r w:rsidRPr="00644EB2">
        <w:rPr>
          <w:rFonts w:ascii="Arial" w:hAnsi="Arial" w:cs="Arial"/>
          <w:sz w:val="22"/>
          <w:szCs w:val="22"/>
          <w:lang w:val="en-GB"/>
        </w:rPr>
        <w:t xml:space="preserve"> a key role in pH regulation as an adaptive response of tumo</w:t>
      </w:r>
      <w:r w:rsidR="00031C83" w:rsidRPr="00644EB2">
        <w:rPr>
          <w:rFonts w:ascii="Arial" w:hAnsi="Arial" w:cs="Arial"/>
          <w:sz w:val="22"/>
          <w:szCs w:val="22"/>
          <w:lang w:val="en-GB"/>
        </w:rPr>
        <w:t>u</w:t>
      </w:r>
      <w:r w:rsidRPr="00644EB2">
        <w:rPr>
          <w:rFonts w:ascii="Arial" w:hAnsi="Arial" w:cs="Arial"/>
          <w:sz w:val="22"/>
          <w:szCs w:val="22"/>
          <w:lang w:val="en-GB"/>
        </w:rPr>
        <w:t>r cells to hypoxia leading to metabolic reprogramming and invasion/metastasis [</w:t>
      </w:r>
      <w:r w:rsidR="004B7610" w:rsidRPr="00644EB2">
        <w:rPr>
          <w:rFonts w:ascii="Arial" w:hAnsi="Arial" w:cs="Arial"/>
          <w:sz w:val="22"/>
          <w:szCs w:val="22"/>
          <w:lang w:val="en-GB"/>
        </w:rPr>
        <w:t>4</w:t>
      </w:r>
      <w:r w:rsidRPr="00644EB2">
        <w:rPr>
          <w:rFonts w:ascii="Arial" w:hAnsi="Arial" w:cs="Arial"/>
          <w:sz w:val="22"/>
          <w:szCs w:val="22"/>
          <w:lang w:val="en-GB"/>
        </w:rPr>
        <w:t xml:space="preserve">]. In </w:t>
      </w:r>
      <w:r w:rsidRPr="00956C9B">
        <w:rPr>
          <w:rFonts w:ascii="Arial" w:hAnsi="Arial" w:cs="Arial"/>
          <w:sz w:val="22"/>
          <w:szCs w:val="22"/>
          <w:lang w:val="en-GB"/>
        </w:rPr>
        <w:t>support of this observation, CRISP</w:t>
      </w:r>
      <w:r w:rsidR="00031C83" w:rsidRPr="00956C9B">
        <w:rPr>
          <w:rFonts w:ascii="Arial" w:hAnsi="Arial" w:cs="Arial"/>
          <w:sz w:val="22"/>
          <w:szCs w:val="22"/>
          <w:lang w:val="en-GB"/>
        </w:rPr>
        <w:t>R</w:t>
      </w:r>
      <w:r w:rsidRPr="00956C9B">
        <w:rPr>
          <w:rFonts w:ascii="Arial" w:hAnsi="Arial" w:cs="Arial"/>
          <w:sz w:val="22"/>
          <w:szCs w:val="22"/>
          <w:lang w:val="en-GB"/>
        </w:rPr>
        <w:t>/Cas9-driven deletion of the CA9 gene, inhibition of CA9 enzyme activity</w:t>
      </w:r>
      <w:r w:rsidR="00644EB2" w:rsidRPr="00956C9B">
        <w:rPr>
          <w:rFonts w:ascii="Arial" w:hAnsi="Arial" w:cs="Arial"/>
          <w:sz w:val="22"/>
          <w:szCs w:val="22"/>
          <w:lang w:val="en-GB"/>
        </w:rPr>
        <w:t>,</w:t>
      </w:r>
      <w:r w:rsidRPr="00956C9B">
        <w:rPr>
          <w:rFonts w:ascii="Arial" w:hAnsi="Arial" w:cs="Arial"/>
          <w:sz w:val="22"/>
          <w:szCs w:val="22"/>
          <w:lang w:val="en-GB"/>
        </w:rPr>
        <w:t xml:space="preserve"> and treatment with CA9-specific monoclonal antibodies reduce the abundance of CIC structures. Interestingly, cancer cells expressing CA9 can expl</w:t>
      </w:r>
      <w:r w:rsidR="00031C83" w:rsidRPr="00956C9B">
        <w:rPr>
          <w:rFonts w:ascii="Arial" w:hAnsi="Arial" w:cs="Arial"/>
          <w:sz w:val="22"/>
          <w:szCs w:val="22"/>
          <w:lang w:val="en-GB"/>
        </w:rPr>
        <w:t>o</w:t>
      </w:r>
      <w:r w:rsidRPr="00956C9B">
        <w:rPr>
          <w:rFonts w:ascii="Arial" w:hAnsi="Arial" w:cs="Arial"/>
          <w:sz w:val="22"/>
          <w:szCs w:val="22"/>
          <w:lang w:val="en-GB"/>
        </w:rPr>
        <w:t>it both modes of CIC formation, i.e.</w:t>
      </w:r>
      <w:r w:rsidR="00644EB2" w:rsidRPr="00956C9B">
        <w:rPr>
          <w:rFonts w:ascii="Arial" w:hAnsi="Arial" w:cs="Arial"/>
          <w:sz w:val="22"/>
          <w:szCs w:val="22"/>
          <w:lang w:val="en-GB"/>
        </w:rPr>
        <w:t>,</w:t>
      </w:r>
      <w:r w:rsidRPr="00956C9B">
        <w:rPr>
          <w:rFonts w:ascii="Arial" w:hAnsi="Arial" w:cs="Arial"/>
          <w:sz w:val="22"/>
          <w:szCs w:val="22"/>
          <w:lang w:val="en-GB"/>
        </w:rPr>
        <w:t xml:space="preserve"> e</w:t>
      </w:r>
      <w:r w:rsidR="00031C83" w:rsidRPr="00956C9B">
        <w:rPr>
          <w:rFonts w:ascii="Arial" w:hAnsi="Arial" w:cs="Arial"/>
          <w:sz w:val="22"/>
          <w:szCs w:val="22"/>
          <w:lang w:val="en-GB"/>
        </w:rPr>
        <w:t>n</w:t>
      </w:r>
      <w:r w:rsidRPr="00956C9B">
        <w:rPr>
          <w:rFonts w:ascii="Arial" w:hAnsi="Arial" w:cs="Arial"/>
          <w:sz w:val="22"/>
          <w:szCs w:val="22"/>
          <w:lang w:val="en-GB"/>
        </w:rPr>
        <w:t>gulfment</w:t>
      </w:r>
      <w:r w:rsidRPr="00644EB2">
        <w:rPr>
          <w:rFonts w:ascii="Arial" w:hAnsi="Arial" w:cs="Arial"/>
          <w:sz w:val="22"/>
          <w:szCs w:val="22"/>
          <w:lang w:val="en-GB"/>
        </w:rPr>
        <w:t xml:space="preserve"> and invasion, </w:t>
      </w:r>
      <w:r w:rsidR="000E6586">
        <w:rPr>
          <w:rFonts w:ascii="Arial" w:hAnsi="Arial" w:cs="Arial"/>
          <w:sz w:val="22"/>
          <w:szCs w:val="22"/>
          <w:lang w:val="en-GB"/>
        </w:rPr>
        <w:t>giving them the ability to</w:t>
      </w:r>
      <w:r w:rsidRPr="00644EB2">
        <w:rPr>
          <w:rFonts w:ascii="Arial" w:hAnsi="Arial" w:cs="Arial"/>
          <w:sz w:val="22"/>
          <w:szCs w:val="22"/>
          <w:lang w:val="en-GB"/>
        </w:rPr>
        <w:t xml:space="preserve"> </w:t>
      </w:r>
      <w:r w:rsidR="000E6586">
        <w:rPr>
          <w:rFonts w:ascii="Arial" w:hAnsi="Arial" w:cs="Arial"/>
          <w:sz w:val="22"/>
          <w:szCs w:val="22"/>
          <w:lang w:val="en-GB"/>
        </w:rPr>
        <w:t xml:space="preserve">a variety of </w:t>
      </w:r>
      <w:r w:rsidRPr="00644EB2">
        <w:rPr>
          <w:rFonts w:ascii="Arial" w:hAnsi="Arial" w:cs="Arial"/>
          <w:sz w:val="22"/>
          <w:szCs w:val="22"/>
          <w:lang w:val="en-GB"/>
        </w:rPr>
        <w:t xml:space="preserve">stress conditions. In conclusion, our findings support the view that hypoxia can induce </w:t>
      </w:r>
      <w:r w:rsidR="000E6586">
        <w:rPr>
          <w:rFonts w:ascii="Arial" w:hAnsi="Arial" w:cs="Arial"/>
          <w:sz w:val="22"/>
          <w:szCs w:val="22"/>
          <w:lang w:val="en-GB"/>
        </w:rPr>
        <w:t xml:space="preserve">the </w:t>
      </w:r>
      <w:r w:rsidRPr="00644EB2">
        <w:rPr>
          <w:rFonts w:ascii="Arial" w:hAnsi="Arial" w:cs="Arial"/>
          <w:sz w:val="22"/>
          <w:szCs w:val="22"/>
          <w:lang w:val="en-GB"/>
        </w:rPr>
        <w:t xml:space="preserve">formation of CIC structures and that it is </w:t>
      </w:r>
      <w:r w:rsidR="00197554">
        <w:rPr>
          <w:rFonts w:ascii="Arial" w:hAnsi="Arial" w:cs="Arial"/>
          <w:sz w:val="22"/>
          <w:szCs w:val="22"/>
          <w:lang w:val="en-GB"/>
        </w:rPr>
        <w:t xml:space="preserve">an </w:t>
      </w:r>
      <w:r w:rsidRPr="00644EB2">
        <w:rPr>
          <w:rFonts w:ascii="Arial" w:hAnsi="Arial" w:cs="Arial"/>
          <w:sz w:val="22"/>
          <w:szCs w:val="22"/>
          <w:lang w:val="en-GB"/>
        </w:rPr>
        <w:t>additional phenomenon through which hypoxia contributes to tumo</w:t>
      </w:r>
      <w:r w:rsidR="00031C83" w:rsidRPr="00644EB2">
        <w:rPr>
          <w:rFonts w:ascii="Arial" w:hAnsi="Arial" w:cs="Arial"/>
          <w:sz w:val="22"/>
          <w:szCs w:val="22"/>
          <w:lang w:val="en-GB"/>
        </w:rPr>
        <w:t>u</w:t>
      </w:r>
      <w:r w:rsidRPr="00644EB2">
        <w:rPr>
          <w:rFonts w:ascii="Arial" w:hAnsi="Arial" w:cs="Arial"/>
          <w:sz w:val="22"/>
          <w:szCs w:val="22"/>
          <w:lang w:val="en-GB"/>
        </w:rPr>
        <w:t xml:space="preserve">r microevolution and therapy resistance. Moreover, this new evidence reinforces the rationale for using CA9 as a therapy target.  </w:t>
      </w:r>
    </w:p>
    <w:p w14:paraId="2C9FED19" w14:textId="77777777" w:rsidR="00D174A3" w:rsidRPr="00644EB2" w:rsidRDefault="00D174A3" w:rsidP="00B9345A">
      <w:pPr>
        <w:snapToGrid w:val="0"/>
        <w:rPr>
          <w:rFonts w:ascii="Arial" w:hAnsi="Arial" w:cs="Arial"/>
          <w:sz w:val="22"/>
          <w:szCs w:val="22"/>
          <w:lang w:val="en-GB"/>
        </w:rPr>
      </w:pPr>
    </w:p>
    <w:p w14:paraId="0E57A87C" w14:textId="77777777" w:rsidR="00D174A3" w:rsidRPr="00644EB2" w:rsidRDefault="00D174A3" w:rsidP="00B9345A">
      <w:pPr>
        <w:snapToGrid w:val="0"/>
        <w:rPr>
          <w:rFonts w:ascii="Arial" w:hAnsi="Arial" w:cs="Arial"/>
          <w:sz w:val="22"/>
          <w:szCs w:val="22"/>
          <w:lang w:val="en-GB"/>
        </w:rPr>
      </w:pPr>
      <w:r w:rsidRPr="00644EB2">
        <w:rPr>
          <w:rFonts w:ascii="Arial" w:hAnsi="Arial" w:cs="Arial"/>
          <w:sz w:val="22"/>
          <w:szCs w:val="22"/>
          <w:lang w:val="en-GB"/>
        </w:rPr>
        <w:t>References:</w:t>
      </w:r>
    </w:p>
    <w:p w14:paraId="53E74CB3" w14:textId="3AEFDA33" w:rsidR="00D174A3" w:rsidRPr="00644EB2" w:rsidRDefault="00D174A3" w:rsidP="00B9345A">
      <w:pPr>
        <w:snapToGrid w:val="0"/>
        <w:rPr>
          <w:rFonts w:ascii="Arial" w:hAnsi="Arial" w:cs="Arial"/>
          <w:i/>
          <w:iCs/>
          <w:sz w:val="22"/>
          <w:szCs w:val="22"/>
          <w:lang w:val="en-GB"/>
        </w:rPr>
      </w:pPr>
      <w:r w:rsidRPr="00644EB2">
        <w:rPr>
          <w:rFonts w:ascii="Arial" w:hAnsi="Arial" w:cs="Arial"/>
          <w:i/>
          <w:iCs/>
          <w:sz w:val="22"/>
          <w:szCs w:val="22"/>
          <w:lang w:val="en-GB"/>
        </w:rPr>
        <w:t xml:space="preserve">[1] </w:t>
      </w:r>
      <w:proofErr w:type="spellStart"/>
      <w:r w:rsidRPr="00644EB2">
        <w:rPr>
          <w:rFonts w:ascii="Arial" w:hAnsi="Arial" w:cs="Arial"/>
          <w:i/>
          <w:iCs/>
          <w:sz w:val="22"/>
          <w:szCs w:val="22"/>
          <w:lang w:val="en-GB"/>
        </w:rPr>
        <w:t>Fais</w:t>
      </w:r>
      <w:proofErr w:type="spellEnd"/>
      <w:r w:rsidRPr="00644EB2">
        <w:rPr>
          <w:rFonts w:ascii="Arial" w:hAnsi="Arial" w:cs="Arial"/>
          <w:i/>
          <w:iCs/>
          <w:sz w:val="22"/>
          <w:szCs w:val="22"/>
          <w:lang w:val="en-GB"/>
        </w:rPr>
        <w:t xml:space="preserve"> S, </w:t>
      </w:r>
      <w:proofErr w:type="spellStart"/>
      <w:r w:rsidRPr="00644EB2">
        <w:rPr>
          <w:rFonts w:ascii="Arial" w:hAnsi="Arial" w:cs="Arial"/>
          <w:i/>
          <w:iCs/>
          <w:sz w:val="22"/>
          <w:szCs w:val="22"/>
          <w:lang w:val="en-GB"/>
        </w:rPr>
        <w:t>Overholtzer</w:t>
      </w:r>
      <w:proofErr w:type="spellEnd"/>
      <w:r w:rsidRPr="00644EB2">
        <w:rPr>
          <w:rFonts w:ascii="Arial" w:hAnsi="Arial" w:cs="Arial"/>
          <w:i/>
          <w:iCs/>
          <w:sz w:val="22"/>
          <w:szCs w:val="22"/>
          <w:lang w:val="en-GB"/>
        </w:rPr>
        <w:t xml:space="preserve"> M. Cell-in-cell phenomena in cancer. Nat Rev Cancer. 2018;18(12):</w:t>
      </w:r>
      <w:r w:rsidR="00031C83" w:rsidRPr="00644EB2">
        <w:rPr>
          <w:rFonts w:ascii="Arial" w:hAnsi="Arial" w:cs="Arial"/>
          <w:i/>
          <w:iCs/>
          <w:sz w:val="22"/>
          <w:szCs w:val="22"/>
          <w:lang w:val="en-GB"/>
        </w:rPr>
        <w:t xml:space="preserve"> </w:t>
      </w:r>
      <w:r w:rsidRPr="00644EB2">
        <w:rPr>
          <w:rFonts w:ascii="Arial" w:hAnsi="Arial" w:cs="Arial"/>
          <w:i/>
          <w:iCs/>
          <w:sz w:val="22"/>
          <w:szCs w:val="22"/>
          <w:lang w:val="en-GB"/>
        </w:rPr>
        <w:t xml:space="preserve">758-766. </w:t>
      </w:r>
      <w:proofErr w:type="spellStart"/>
      <w:r w:rsidRPr="00644EB2">
        <w:rPr>
          <w:rFonts w:ascii="Arial" w:hAnsi="Arial" w:cs="Arial"/>
          <w:i/>
          <w:iCs/>
          <w:sz w:val="22"/>
          <w:szCs w:val="22"/>
          <w:lang w:val="en-GB"/>
        </w:rPr>
        <w:t>doi</w:t>
      </w:r>
      <w:proofErr w:type="spellEnd"/>
      <w:r w:rsidRPr="00644EB2">
        <w:rPr>
          <w:rFonts w:ascii="Arial" w:hAnsi="Arial" w:cs="Arial"/>
          <w:i/>
          <w:iCs/>
          <w:sz w:val="22"/>
          <w:szCs w:val="22"/>
          <w:lang w:val="en-GB"/>
        </w:rPr>
        <w:t>: 10.1038/s41568-018-0073-9</w:t>
      </w:r>
    </w:p>
    <w:p w14:paraId="1E92B264" w14:textId="1BA03760" w:rsidR="00644EB2" w:rsidRPr="00644EB2" w:rsidRDefault="00644EB2" w:rsidP="00B9345A">
      <w:pPr>
        <w:pStyle w:val="NormalWeb"/>
        <w:snapToGrid w:val="0"/>
        <w:spacing w:before="0" w:beforeAutospacing="0" w:after="0" w:afterAutospacing="0"/>
        <w:rPr>
          <w:rFonts w:ascii="Arial" w:hAnsi="Arial" w:cs="Arial"/>
          <w:i/>
          <w:iCs/>
          <w:sz w:val="22"/>
          <w:szCs w:val="22"/>
        </w:rPr>
      </w:pPr>
      <w:r w:rsidRPr="00644EB2">
        <w:rPr>
          <w:rFonts w:ascii="Arial" w:hAnsi="Arial" w:cs="Arial"/>
          <w:i/>
          <w:iCs/>
          <w:sz w:val="22"/>
          <w:szCs w:val="22"/>
          <w:lang w:val="en-GB"/>
        </w:rPr>
        <w:t xml:space="preserve">[2] </w:t>
      </w:r>
      <w:proofErr w:type="spellStart"/>
      <w:r w:rsidRPr="00644EB2">
        <w:rPr>
          <w:rFonts w:ascii="Arial" w:hAnsi="Arial" w:cs="Arial"/>
          <w:i/>
          <w:iCs/>
          <w:sz w:val="22"/>
          <w:szCs w:val="22"/>
          <w:lang w:val="en-GB"/>
        </w:rPr>
        <w:t>Mlynarczuk</w:t>
      </w:r>
      <w:proofErr w:type="spellEnd"/>
      <w:r w:rsidRPr="00644EB2">
        <w:rPr>
          <w:rFonts w:ascii="Arial" w:hAnsi="Arial" w:cs="Arial"/>
          <w:i/>
          <w:iCs/>
          <w:sz w:val="22"/>
          <w:szCs w:val="22"/>
          <w:lang w:val="en-GB"/>
        </w:rPr>
        <w:t xml:space="preserve">-Bialy I et al. </w:t>
      </w:r>
      <w:proofErr w:type="spellStart"/>
      <w:r w:rsidRPr="00644EB2">
        <w:rPr>
          <w:rFonts w:ascii="Arial" w:hAnsi="Arial" w:cs="Arial"/>
          <w:i/>
          <w:iCs/>
          <w:sz w:val="22"/>
          <w:szCs w:val="22"/>
          <w:lang w:val="en-GB"/>
        </w:rPr>
        <w:t>Entosis</w:t>
      </w:r>
      <w:proofErr w:type="spellEnd"/>
      <w:r w:rsidRPr="00644EB2">
        <w:rPr>
          <w:rFonts w:ascii="Arial" w:hAnsi="Arial" w:cs="Arial"/>
          <w:i/>
          <w:iCs/>
          <w:sz w:val="22"/>
          <w:szCs w:val="22"/>
          <w:lang w:val="en-GB"/>
        </w:rPr>
        <w:t xml:space="preserve">: From cell biology to clinical cancer patients. Cancers 2020; 12, 2481. </w:t>
      </w:r>
      <w:r w:rsidRPr="00644EB2">
        <w:rPr>
          <w:rFonts w:ascii="Arial" w:hAnsi="Arial" w:cs="Arial"/>
          <w:i/>
          <w:iCs/>
          <w:sz w:val="22"/>
          <w:szCs w:val="22"/>
        </w:rPr>
        <w:t>doi:10.3390/cancers12092481</w:t>
      </w:r>
      <w:r>
        <w:rPr>
          <w:rFonts w:ascii="Arial" w:hAnsi="Arial" w:cs="Arial"/>
          <w:i/>
          <w:iCs/>
          <w:sz w:val="22"/>
          <w:szCs w:val="22"/>
        </w:rPr>
        <w:t>.</w:t>
      </w:r>
      <w:r w:rsidRPr="00644EB2">
        <w:rPr>
          <w:rFonts w:ascii="Arial" w:hAnsi="Arial" w:cs="Arial"/>
          <w:i/>
          <w:iCs/>
          <w:sz w:val="22"/>
          <w:szCs w:val="22"/>
        </w:rPr>
        <w:t xml:space="preserve"> </w:t>
      </w:r>
    </w:p>
    <w:p w14:paraId="6B765CF2" w14:textId="1049BFFF" w:rsidR="00D174A3" w:rsidRPr="00644EB2" w:rsidRDefault="00D174A3" w:rsidP="00B9345A">
      <w:pPr>
        <w:snapToGrid w:val="0"/>
        <w:rPr>
          <w:rFonts w:ascii="Arial" w:hAnsi="Arial" w:cs="Arial"/>
          <w:i/>
          <w:iCs/>
          <w:sz w:val="22"/>
          <w:szCs w:val="22"/>
          <w:lang w:val="en-GB"/>
        </w:rPr>
      </w:pPr>
      <w:r w:rsidRPr="00644EB2">
        <w:rPr>
          <w:rFonts w:ascii="Arial" w:hAnsi="Arial" w:cs="Arial"/>
          <w:i/>
          <w:iCs/>
          <w:sz w:val="22"/>
          <w:szCs w:val="22"/>
          <w:shd w:val="clear" w:color="auto" w:fill="FFFFFF"/>
          <w:lang w:val="en-GB"/>
        </w:rPr>
        <w:t>[</w:t>
      </w:r>
      <w:r w:rsidR="004B7610" w:rsidRPr="00644EB2">
        <w:rPr>
          <w:rFonts w:ascii="Arial" w:hAnsi="Arial" w:cs="Arial"/>
          <w:i/>
          <w:iCs/>
          <w:sz w:val="22"/>
          <w:szCs w:val="22"/>
          <w:shd w:val="clear" w:color="auto" w:fill="FFFFFF"/>
          <w:lang w:val="en-GB"/>
        </w:rPr>
        <w:t>3</w:t>
      </w:r>
      <w:r w:rsidRPr="00644EB2">
        <w:rPr>
          <w:rFonts w:ascii="Arial" w:hAnsi="Arial" w:cs="Arial"/>
          <w:i/>
          <w:iCs/>
          <w:sz w:val="22"/>
          <w:szCs w:val="22"/>
          <w:shd w:val="clear" w:color="auto" w:fill="FFFFFF"/>
          <w:lang w:val="en-GB"/>
        </w:rPr>
        <w:t xml:space="preserve">] Gutwillig A et al. Transient cell-in-cell formation underlies </w:t>
      </w:r>
      <w:proofErr w:type="spellStart"/>
      <w:r w:rsidRPr="00644EB2">
        <w:rPr>
          <w:rFonts w:ascii="Arial" w:hAnsi="Arial" w:cs="Arial"/>
          <w:i/>
          <w:iCs/>
          <w:sz w:val="22"/>
          <w:szCs w:val="22"/>
          <w:shd w:val="clear" w:color="auto" w:fill="FFFFFF"/>
          <w:lang w:val="en-GB"/>
        </w:rPr>
        <w:t>tumor</w:t>
      </w:r>
      <w:proofErr w:type="spellEnd"/>
      <w:r w:rsidRPr="00644EB2">
        <w:rPr>
          <w:rFonts w:ascii="Arial" w:hAnsi="Arial" w:cs="Arial"/>
          <w:i/>
          <w:iCs/>
          <w:sz w:val="22"/>
          <w:szCs w:val="22"/>
          <w:shd w:val="clear" w:color="auto" w:fill="FFFFFF"/>
          <w:lang w:val="en-GB"/>
        </w:rPr>
        <w:t xml:space="preserve"> relapse and resistance to immunotherapy. </w:t>
      </w:r>
      <w:proofErr w:type="spellStart"/>
      <w:r w:rsidRPr="00644EB2">
        <w:rPr>
          <w:rFonts w:ascii="Arial" w:hAnsi="Arial" w:cs="Arial"/>
          <w:i/>
          <w:iCs/>
          <w:sz w:val="22"/>
          <w:szCs w:val="22"/>
          <w:shd w:val="clear" w:color="auto" w:fill="FFFFFF"/>
          <w:lang w:val="en-GB"/>
        </w:rPr>
        <w:t>Elife</w:t>
      </w:r>
      <w:proofErr w:type="spellEnd"/>
      <w:r w:rsidRPr="00644EB2">
        <w:rPr>
          <w:rFonts w:ascii="Arial" w:hAnsi="Arial" w:cs="Arial"/>
          <w:i/>
          <w:iCs/>
          <w:sz w:val="22"/>
          <w:szCs w:val="22"/>
          <w:shd w:val="clear" w:color="auto" w:fill="FFFFFF"/>
          <w:lang w:val="en-GB"/>
        </w:rPr>
        <w:t>. 2022 Sep 20;</w:t>
      </w:r>
      <w:proofErr w:type="gramStart"/>
      <w:r w:rsidRPr="00644EB2">
        <w:rPr>
          <w:rFonts w:ascii="Arial" w:hAnsi="Arial" w:cs="Arial"/>
          <w:i/>
          <w:iCs/>
          <w:sz w:val="22"/>
          <w:szCs w:val="22"/>
          <w:shd w:val="clear" w:color="auto" w:fill="FFFFFF"/>
          <w:lang w:val="en-GB"/>
        </w:rPr>
        <w:t>11:e</w:t>
      </w:r>
      <w:proofErr w:type="gramEnd"/>
      <w:r w:rsidRPr="00644EB2">
        <w:rPr>
          <w:rFonts w:ascii="Arial" w:hAnsi="Arial" w:cs="Arial"/>
          <w:i/>
          <w:iCs/>
          <w:sz w:val="22"/>
          <w:szCs w:val="22"/>
          <w:shd w:val="clear" w:color="auto" w:fill="FFFFFF"/>
          <w:lang w:val="en-GB"/>
        </w:rPr>
        <w:t>80315. doi:10.7554/eLife.80315.</w:t>
      </w:r>
    </w:p>
    <w:p w14:paraId="36D89BA9" w14:textId="4ABCE61C" w:rsidR="00D174A3" w:rsidRPr="00644EB2" w:rsidRDefault="00D174A3" w:rsidP="00B934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rPr>
          <w:rFonts w:ascii="Arial" w:hAnsi="Arial" w:cs="Arial"/>
          <w:i/>
          <w:iCs/>
          <w:sz w:val="22"/>
          <w:szCs w:val="22"/>
          <w:lang w:val="en-GB"/>
        </w:rPr>
      </w:pPr>
      <w:r w:rsidRPr="00644EB2">
        <w:rPr>
          <w:rFonts w:ascii="Arial" w:hAnsi="Arial" w:cs="Arial"/>
          <w:i/>
          <w:iCs/>
          <w:sz w:val="22"/>
          <w:szCs w:val="22"/>
          <w:lang w:val="en-GB"/>
        </w:rPr>
        <w:t>[</w:t>
      </w:r>
      <w:r w:rsidR="004B7610" w:rsidRPr="00644EB2">
        <w:rPr>
          <w:rFonts w:ascii="Arial" w:hAnsi="Arial" w:cs="Arial"/>
          <w:i/>
          <w:iCs/>
          <w:sz w:val="22"/>
          <w:szCs w:val="22"/>
          <w:lang w:val="en-GB"/>
        </w:rPr>
        <w:t>4</w:t>
      </w:r>
      <w:r w:rsidRPr="00644EB2">
        <w:rPr>
          <w:rFonts w:ascii="Arial" w:hAnsi="Arial" w:cs="Arial"/>
          <w:i/>
          <w:iCs/>
          <w:sz w:val="22"/>
          <w:szCs w:val="22"/>
          <w:lang w:val="en-GB"/>
        </w:rPr>
        <w:t>] Pastorekova S, Gillies RJ. The role of carbonic anhydrase IX in cancer development: links to hypoxia, acidosis, and beyond. Cancer Metastasis Rev. 2019 Jun;38(1-2):65-77.</w:t>
      </w:r>
    </w:p>
    <w:p w14:paraId="2ED88407" w14:textId="77777777" w:rsidR="00D174A3" w:rsidRPr="00644EB2" w:rsidRDefault="00D174A3" w:rsidP="00B9345A">
      <w:pPr>
        <w:snapToGrid w:val="0"/>
        <w:rPr>
          <w:rFonts w:ascii="Arial" w:hAnsi="Arial" w:cs="Arial"/>
          <w:i/>
          <w:iCs/>
          <w:sz w:val="22"/>
          <w:szCs w:val="22"/>
          <w:lang w:val="en-GB"/>
        </w:rPr>
      </w:pPr>
    </w:p>
    <w:p w14:paraId="434DCE05" w14:textId="0A6B76AB" w:rsidR="00D174A3" w:rsidRPr="00644EB2" w:rsidRDefault="00031C83" w:rsidP="00B9345A">
      <w:pPr>
        <w:snapToGrid w:val="0"/>
        <w:rPr>
          <w:rFonts w:ascii="Arial" w:hAnsi="Arial" w:cs="Arial"/>
          <w:sz w:val="22"/>
          <w:szCs w:val="22"/>
          <w:lang w:val="en-GB"/>
        </w:rPr>
      </w:pPr>
      <w:r w:rsidRPr="00644EB2">
        <w:rPr>
          <w:rFonts w:ascii="Arial" w:hAnsi="Arial" w:cs="Arial"/>
          <w:sz w:val="22"/>
          <w:szCs w:val="22"/>
          <w:lang w:val="en-GB"/>
        </w:rPr>
        <w:t xml:space="preserve">This work </w:t>
      </w:r>
      <w:r w:rsidR="00A22B44">
        <w:rPr>
          <w:rFonts w:ascii="Arial" w:hAnsi="Arial" w:cs="Arial"/>
          <w:sz w:val="22"/>
          <w:szCs w:val="22"/>
          <w:lang w:val="en-GB"/>
        </w:rPr>
        <w:t>wa</w:t>
      </w:r>
      <w:r w:rsidRPr="00644EB2">
        <w:rPr>
          <w:rFonts w:ascii="Arial" w:hAnsi="Arial" w:cs="Arial"/>
          <w:sz w:val="22"/>
          <w:szCs w:val="22"/>
          <w:lang w:val="en-GB"/>
        </w:rPr>
        <w:t xml:space="preserve">s supported by the </w:t>
      </w:r>
      <w:r w:rsidR="00D174A3" w:rsidRPr="00644EB2">
        <w:rPr>
          <w:rFonts w:ascii="Arial" w:hAnsi="Arial" w:cs="Arial"/>
          <w:sz w:val="22"/>
          <w:szCs w:val="22"/>
          <w:lang w:val="en-GB"/>
        </w:rPr>
        <w:t>APVV-19-0098</w:t>
      </w:r>
      <w:r w:rsidRPr="00644EB2">
        <w:rPr>
          <w:rFonts w:ascii="Arial" w:hAnsi="Arial" w:cs="Arial"/>
          <w:sz w:val="22"/>
          <w:szCs w:val="22"/>
          <w:lang w:val="en-GB"/>
        </w:rPr>
        <w:t xml:space="preserve"> and VEGA 2/0050/24 grants and by the</w:t>
      </w:r>
      <w:r w:rsidR="00D174A3" w:rsidRPr="00644EB2">
        <w:rPr>
          <w:rFonts w:ascii="Arial" w:hAnsi="Arial" w:cs="Arial"/>
          <w:sz w:val="22"/>
          <w:szCs w:val="22"/>
          <w:lang w:val="en-GB"/>
        </w:rPr>
        <w:t xml:space="preserve"> George </w:t>
      </w:r>
      <w:r w:rsidR="00D174A3" w:rsidRPr="00956C9B">
        <w:rPr>
          <w:rFonts w:ascii="Arial" w:hAnsi="Arial" w:cs="Arial"/>
          <w:sz w:val="22"/>
          <w:szCs w:val="22"/>
          <w:lang w:val="en-GB"/>
        </w:rPr>
        <w:t>Schwa</w:t>
      </w:r>
      <w:r w:rsidR="00B0592E" w:rsidRPr="00956C9B">
        <w:rPr>
          <w:rFonts w:ascii="Arial" w:hAnsi="Arial" w:cs="Arial"/>
          <w:sz w:val="22"/>
          <w:szCs w:val="22"/>
          <w:lang w:val="en-GB"/>
        </w:rPr>
        <w:t>b</w:t>
      </w:r>
      <w:r w:rsidR="00D174A3" w:rsidRPr="00956C9B">
        <w:rPr>
          <w:rFonts w:ascii="Arial" w:hAnsi="Arial" w:cs="Arial"/>
          <w:sz w:val="22"/>
          <w:szCs w:val="22"/>
          <w:lang w:val="en-GB"/>
        </w:rPr>
        <w:t xml:space="preserve"> and</w:t>
      </w:r>
      <w:r w:rsidR="00D174A3" w:rsidRPr="00644EB2">
        <w:rPr>
          <w:rFonts w:ascii="Arial" w:hAnsi="Arial" w:cs="Arial"/>
          <w:sz w:val="22"/>
          <w:szCs w:val="22"/>
          <w:lang w:val="en-GB"/>
        </w:rPr>
        <w:t xml:space="preserve"> Leona Lauder Foundation</w:t>
      </w:r>
      <w:r w:rsidRPr="00644EB2">
        <w:rPr>
          <w:rFonts w:ascii="Arial" w:hAnsi="Arial" w:cs="Arial"/>
          <w:sz w:val="22"/>
          <w:szCs w:val="22"/>
          <w:lang w:val="en-GB"/>
        </w:rPr>
        <w:t>.</w:t>
      </w:r>
    </w:p>
    <w:p w14:paraId="1AE5689D" w14:textId="77777777" w:rsidR="004E5ECE" w:rsidRPr="00644EB2" w:rsidRDefault="004E5ECE" w:rsidP="00B9345A">
      <w:pPr>
        <w:snapToGrid w:val="0"/>
        <w:rPr>
          <w:rFonts w:ascii="Arial" w:hAnsi="Arial" w:cs="Arial"/>
          <w:sz w:val="22"/>
          <w:szCs w:val="22"/>
          <w:lang w:val="en-GB"/>
        </w:rPr>
      </w:pPr>
    </w:p>
    <w:sectPr w:rsidR="004E5ECE" w:rsidRPr="00644E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EE"/>
    <w:family w:val="swiss"/>
    <w:pitch w:val="variable"/>
    <w:sig w:usb0="E4002EFF" w:usb1="C000247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Arial">
    <w:altName w:val="ARIAL HEBREW LIGHT"/>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4A3"/>
    <w:rsid w:val="00031C83"/>
    <w:rsid w:val="000B4147"/>
    <w:rsid w:val="000E6586"/>
    <w:rsid w:val="00197554"/>
    <w:rsid w:val="00374DC6"/>
    <w:rsid w:val="004171A4"/>
    <w:rsid w:val="004B7610"/>
    <w:rsid w:val="004E5ECE"/>
    <w:rsid w:val="00634F6F"/>
    <w:rsid w:val="00644EB2"/>
    <w:rsid w:val="006A5537"/>
    <w:rsid w:val="00750A17"/>
    <w:rsid w:val="00892A2C"/>
    <w:rsid w:val="00956C9B"/>
    <w:rsid w:val="009F584A"/>
    <w:rsid w:val="00A22B44"/>
    <w:rsid w:val="00B0592E"/>
    <w:rsid w:val="00B06822"/>
    <w:rsid w:val="00B9345A"/>
    <w:rsid w:val="00BC64B5"/>
    <w:rsid w:val="00D174A3"/>
    <w:rsid w:val="00E42D8D"/>
  </w:rsids>
  <m:mathPr>
    <m:mathFont m:val="Cambria Math"/>
    <m:brkBin m:val="before"/>
    <m:brkBinSub m:val="--"/>
    <m:smallFrac m:val="0"/>
    <m:dispDef/>
    <m:lMargin m:val="0"/>
    <m:rMargin m:val="0"/>
    <m:defJc m:val="centerGroup"/>
    <m:wrapIndent m:val="1440"/>
    <m:intLim m:val="subSup"/>
    <m:naryLim m:val="undOvr"/>
  </m:mathPr>
  <w:themeFontLang w:val="en-SK"/>
  <w:clrSchemeMapping w:bg1="light1" w:t1="dark1" w:bg2="light2" w:t2="dark2" w:accent1="accent1" w:accent2="accent2" w:accent3="accent3" w:accent4="accent4" w:accent5="accent5" w:accent6="accent6" w:hyperlink="hyperlink" w:followedHyperlink="followedHyperlink"/>
  <w:decimalSymbol w:val=","/>
  <w:listSeparator w:val=","/>
  <w14:docId w14:val="6FE55E0E"/>
  <w15:chartTrackingRefBased/>
  <w15:docId w15:val="{D14B1A4D-4206-4548-9EFE-4C7494796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4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4EB2"/>
    <w:pPr>
      <w:spacing w:before="100" w:beforeAutospacing="1" w:after="100" w:afterAutospacing="1"/>
    </w:pPr>
    <w:rPr>
      <w:rFonts w:ascii="Times New Roman" w:eastAsia="Times New Roman" w:hAnsi="Times New Roman" w:cs="Times New Roman"/>
      <w:kern w:val="0"/>
      <w:lang w:val="sk-SK" w:eastAsia="sk-SK"/>
      <w14:ligatures w14:val="none"/>
    </w:rPr>
  </w:style>
  <w:style w:type="character" w:styleId="Hyperlink">
    <w:name w:val="Hyperlink"/>
    <w:basedOn w:val="DefaultParagraphFont"/>
    <w:uiPriority w:val="99"/>
    <w:unhideWhenUsed/>
    <w:rsid w:val="000B4147"/>
    <w:rPr>
      <w:color w:val="0563C1" w:themeColor="hyperlink"/>
      <w:u w:val="single"/>
    </w:rPr>
  </w:style>
  <w:style w:type="character" w:styleId="UnresolvedMention">
    <w:name w:val="Unresolved Mention"/>
    <w:basedOn w:val="DefaultParagraphFont"/>
    <w:uiPriority w:val="99"/>
    <w:semiHidden/>
    <w:unhideWhenUsed/>
    <w:rsid w:val="000B41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072918">
      <w:bodyDiv w:val="1"/>
      <w:marLeft w:val="0"/>
      <w:marRight w:val="0"/>
      <w:marTop w:val="0"/>
      <w:marBottom w:val="0"/>
      <w:divBdr>
        <w:top w:val="none" w:sz="0" w:space="0" w:color="auto"/>
        <w:left w:val="none" w:sz="0" w:space="0" w:color="auto"/>
        <w:bottom w:val="none" w:sz="0" w:space="0" w:color="auto"/>
        <w:right w:val="none" w:sz="0" w:space="0" w:color="auto"/>
      </w:divBdr>
      <w:divsChild>
        <w:div w:id="47194700">
          <w:marLeft w:val="0"/>
          <w:marRight w:val="0"/>
          <w:marTop w:val="0"/>
          <w:marBottom w:val="0"/>
          <w:divBdr>
            <w:top w:val="none" w:sz="0" w:space="0" w:color="auto"/>
            <w:left w:val="none" w:sz="0" w:space="0" w:color="auto"/>
            <w:bottom w:val="none" w:sz="0" w:space="0" w:color="auto"/>
            <w:right w:val="none" w:sz="0" w:space="0" w:color="auto"/>
          </w:divBdr>
          <w:divsChild>
            <w:div w:id="1844857744">
              <w:marLeft w:val="0"/>
              <w:marRight w:val="0"/>
              <w:marTop w:val="0"/>
              <w:marBottom w:val="0"/>
              <w:divBdr>
                <w:top w:val="none" w:sz="0" w:space="0" w:color="auto"/>
                <w:left w:val="none" w:sz="0" w:space="0" w:color="auto"/>
                <w:bottom w:val="none" w:sz="0" w:space="0" w:color="auto"/>
                <w:right w:val="none" w:sz="0" w:space="0" w:color="auto"/>
              </w:divBdr>
              <w:divsChild>
                <w:div w:id="181583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524</Words>
  <Characters>2989</Characters>
  <Application>Microsoft Office Word</Application>
  <DocSecurity>0</DocSecurity>
  <Lines>24</Lines>
  <Paragraphs>7</Paragraphs>
  <ScaleCrop>false</ScaleCrop>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Pastorekova</dc:creator>
  <cp:keywords/>
  <dc:description/>
  <cp:lastModifiedBy>Silvia Pastorekova</cp:lastModifiedBy>
  <cp:revision>9</cp:revision>
  <cp:lastPrinted>2024-04-03T14:51:00Z</cp:lastPrinted>
  <dcterms:created xsi:type="dcterms:W3CDTF">2024-04-03T18:21:00Z</dcterms:created>
  <dcterms:modified xsi:type="dcterms:W3CDTF">2024-04-04T12:56:00Z</dcterms:modified>
</cp:coreProperties>
</file>