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729" w:rsidRDefault="00426079" w:rsidP="00561C9B">
      <w:pPr>
        <w:spacing w:line="360" w:lineRule="auto"/>
        <w:rPr>
          <w:rFonts w:ascii="Arial" w:hAnsi="Arial" w:cs="Arial"/>
          <w:color w:val="000000" w:themeColor="text1"/>
          <w:sz w:val="24"/>
          <w:szCs w:val="32"/>
        </w:rPr>
      </w:pPr>
      <w:r>
        <w:rPr>
          <w:rFonts w:ascii="Arial" w:hAnsi="Arial" w:cs="Arial"/>
          <w:b/>
          <w:bCs/>
          <w:color w:val="000000" w:themeColor="text1"/>
          <w:sz w:val="24"/>
          <w:szCs w:val="32"/>
        </w:rPr>
        <w:t>Identification of t</w:t>
      </w:r>
      <w:r w:rsidR="00003729" w:rsidRPr="00541FDA">
        <w:rPr>
          <w:rFonts w:ascii="Arial" w:hAnsi="Arial" w:cs="Arial"/>
          <w:b/>
          <w:bCs/>
          <w:color w:val="000000" w:themeColor="text1"/>
          <w:sz w:val="24"/>
          <w:szCs w:val="32"/>
        </w:rPr>
        <w:t>he proper subset responsible for erythropoietin production among renal fibroblasts</w:t>
      </w:r>
    </w:p>
    <w:p w:rsidR="00003729" w:rsidRDefault="00541FDA" w:rsidP="004462CB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32"/>
        </w:rPr>
      </w:pPr>
      <w:r>
        <w:rPr>
          <w:rFonts w:ascii="Arial" w:hAnsi="Arial" w:cs="Arial" w:hint="eastAsia"/>
          <w:color w:val="000000" w:themeColor="text1"/>
          <w:sz w:val="24"/>
          <w:szCs w:val="32"/>
        </w:rPr>
        <w:t>T</w:t>
      </w:r>
      <w:r>
        <w:rPr>
          <w:rFonts w:ascii="Arial" w:hAnsi="Arial" w:cs="Arial"/>
          <w:color w:val="000000" w:themeColor="text1"/>
          <w:sz w:val="24"/>
          <w:szCs w:val="32"/>
        </w:rPr>
        <w:t>aku Nakai, Yuma Iwamura, Koichiro Kato, Norio Suzuki</w:t>
      </w:r>
    </w:p>
    <w:p w:rsidR="00541FDA" w:rsidRDefault="00541FDA" w:rsidP="00561C9B">
      <w:pPr>
        <w:spacing w:line="360" w:lineRule="auto"/>
        <w:rPr>
          <w:rFonts w:ascii="Arial" w:hAnsi="Arial" w:cs="Arial"/>
          <w:color w:val="000000" w:themeColor="text1"/>
          <w:sz w:val="24"/>
          <w:szCs w:val="32"/>
        </w:rPr>
      </w:pPr>
      <w:r>
        <w:rPr>
          <w:rFonts w:ascii="Arial" w:hAnsi="Arial" w:cs="Arial"/>
          <w:color w:val="000000" w:themeColor="text1"/>
          <w:sz w:val="24"/>
          <w:szCs w:val="32"/>
        </w:rPr>
        <w:t>Division of Oxygen Biology, Tohoku University Graduate School of Medicine, Seiryo-machi 2-1, Aoba-ku, Sendai, Miyagi 980-8575, Japan.</w:t>
      </w:r>
    </w:p>
    <w:p w:rsidR="00541FDA" w:rsidRDefault="00541FDA" w:rsidP="00561C9B">
      <w:pPr>
        <w:spacing w:line="360" w:lineRule="auto"/>
        <w:rPr>
          <w:rFonts w:ascii="Arial" w:hAnsi="Arial" w:cs="Arial"/>
          <w:color w:val="000000" w:themeColor="text1"/>
          <w:sz w:val="24"/>
          <w:szCs w:val="32"/>
        </w:rPr>
      </w:pPr>
    </w:p>
    <w:p w:rsidR="00541FDA" w:rsidRPr="00541FDA" w:rsidRDefault="00541FDA" w:rsidP="00561C9B">
      <w:pPr>
        <w:spacing w:line="360" w:lineRule="auto"/>
        <w:rPr>
          <w:rFonts w:ascii="Arial" w:hAnsi="Arial" w:cs="Arial" w:hint="eastAsia"/>
          <w:b/>
          <w:bCs/>
          <w:color w:val="000000" w:themeColor="text1"/>
          <w:sz w:val="24"/>
          <w:szCs w:val="32"/>
        </w:rPr>
      </w:pPr>
      <w:r w:rsidRPr="00541FDA">
        <w:rPr>
          <w:rFonts w:ascii="Arial" w:hAnsi="Arial" w:cs="Arial" w:hint="eastAsia"/>
          <w:b/>
          <w:bCs/>
          <w:color w:val="000000" w:themeColor="text1"/>
          <w:sz w:val="24"/>
          <w:szCs w:val="32"/>
        </w:rPr>
        <w:t>A</w:t>
      </w:r>
      <w:r w:rsidRPr="00541FDA">
        <w:rPr>
          <w:rFonts w:ascii="Arial" w:hAnsi="Arial" w:cs="Arial"/>
          <w:b/>
          <w:bCs/>
          <w:color w:val="000000" w:themeColor="text1"/>
          <w:sz w:val="24"/>
          <w:szCs w:val="32"/>
        </w:rPr>
        <w:t>bstract</w:t>
      </w:r>
    </w:p>
    <w:p w:rsidR="00904012" w:rsidRPr="00003729" w:rsidRDefault="00003729" w:rsidP="00561C9B">
      <w:pPr>
        <w:spacing w:line="360" w:lineRule="auto"/>
        <w:rPr>
          <w:rFonts w:ascii="Arial" w:hAnsi="Arial" w:cs="Arial"/>
          <w:color w:val="000000" w:themeColor="text1"/>
          <w:sz w:val="24"/>
          <w:szCs w:val="32"/>
        </w:rPr>
      </w:pPr>
      <w:r>
        <w:rPr>
          <w:rFonts w:ascii="Arial" w:hAnsi="Arial" w:cs="Arial"/>
          <w:color w:val="000000" w:themeColor="text1"/>
          <w:sz w:val="24"/>
          <w:szCs w:val="32"/>
        </w:rPr>
        <w:t xml:space="preserve">Renal interstitial </w:t>
      </w:r>
      <w:r w:rsidR="000E69AB">
        <w:rPr>
          <w:rFonts w:ascii="Arial" w:hAnsi="Arial" w:cs="Arial"/>
          <w:color w:val="000000" w:themeColor="text1"/>
          <w:sz w:val="24"/>
          <w:szCs w:val="32"/>
        </w:rPr>
        <w:t>cells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</w:t>
      </w:r>
      <w:r w:rsidR="000E69AB">
        <w:rPr>
          <w:rFonts w:ascii="Arial" w:hAnsi="Arial" w:cs="Arial"/>
          <w:color w:val="000000" w:themeColor="text1"/>
          <w:sz w:val="24"/>
          <w:szCs w:val="32"/>
        </w:rPr>
        <w:t>consist of smooth muscle cells, pericytes, and fibroblasts</w:t>
      </w:r>
      <w:r>
        <w:rPr>
          <w:rFonts w:ascii="Arial" w:hAnsi="Arial" w:cs="Arial"/>
          <w:color w:val="000000" w:themeColor="text1"/>
          <w:sz w:val="24"/>
          <w:szCs w:val="32"/>
        </w:rPr>
        <w:t>.</w:t>
      </w:r>
      <w:r>
        <w:rPr>
          <w:rFonts w:ascii="Arial" w:hAnsi="Arial" w:cs="Arial" w:hint="eastAsia"/>
          <w:color w:val="000000" w:themeColor="text1"/>
          <w:sz w:val="24"/>
          <w:szCs w:val="32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32"/>
        </w:rPr>
        <w:t>A subset of renal fibroblasts has the ability to produce erythropoietin (EPO) in a hypoxia inducible factor (HIF)-dependent manner. In kidney disease, renal EPO producing (REP) cells are transformed into myofibroblasts and cease EPO production</w:t>
      </w:r>
      <w:r w:rsidRPr="00A77309">
        <w:rPr>
          <w:rFonts w:ascii="Arial" w:hAnsi="Arial" w:cs="Arial"/>
          <w:color w:val="000000" w:themeColor="text1"/>
          <w:sz w:val="24"/>
          <w:szCs w:val="32"/>
        </w:rPr>
        <w:t>.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</w:t>
      </w:r>
      <w:r w:rsidR="00933B33">
        <w:rPr>
          <w:rFonts w:ascii="Arial" w:hAnsi="Arial" w:cs="Arial"/>
          <w:color w:val="000000" w:themeColor="text1"/>
          <w:sz w:val="24"/>
          <w:szCs w:val="32"/>
        </w:rPr>
        <w:t>D</w:t>
      </w:r>
      <w:r>
        <w:rPr>
          <w:rFonts w:ascii="Arial" w:hAnsi="Arial" w:cs="Arial"/>
          <w:color w:val="000000" w:themeColor="text1"/>
          <w:sz w:val="24"/>
          <w:szCs w:val="32"/>
        </w:rPr>
        <w:t>istinguish</w:t>
      </w:r>
      <w:r w:rsidR="00933B33">
        <w:rPr>
          <w:rFonts w:ascii="Arial" w:hAnsi="Arial" w:cs="Arial"/>
          <w:color w:val="000000" w:themeColor="text1"/>
          <w:sz w:val="24"/>
          <w:szCs w:val="32"/>
        </w:rPr>
        <w:t>ing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REP cell population </w:t>
      </w:r>
      <w:r w:rsidR="0074556A">
        <w:rPr>
          <w:rFonts w:ascii="Arial" w:hAnsi="Arial" w:cs="Arial"/>
          <w:color w:val="000000" w:themeColor="text1"/>
          <w:sz w:val="24"/>
          <w:szCs w:val="32"/>
        </w:rPr>
        <w:t>from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the </w:t>
      </w:r>
      <w:r w:rsidR="0074556A">
        <w:rPr>
          <w:rFonts w:ascii="Arial" w:hAnsi="Arial" w:cs="Arial"/>
          <w:color w:val="000000" w:themeColor="text1"/>
          <w:sz w:val="24"/>
          <w:szCs w:val="32"/>
        </w:rPr>
        <w:t>heterogenous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renal </w:t>
      </w:r>
      <w:r w:rsidR="00933B33">
        <w:rPr>
          <w:rFonts w:ascii="Arial" w:hAnsi="Arial" w:cs="Arial"/>
          <w:color w:val="000000" w:themeColor="text1"/>
          <w:sz w:val="24"/>
          <w:szCs w:val="32"/>
        </w:rPr>
        <w:t>interstitial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population</w:t>
      </w:r>
      <w:r w:rsidR="00933B33">
        <w:rPr>
          <w:rFonts w:ascii="Arial" w:hAnsi="Arial" w:cs="Arial"/>
          <w:color w:val="000000" w:themeColor="text1"/>
          <w:sz w:val="24"/>
          <w:szCs w:val="32"/>
        </w:rPr>
        <w:t xml:space="preserve"> remains challenging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. In this study, using a combination of </w:t>
      </w:r>
      <w:r w:rsidRPr="00A77309">
        <w:rPr>
          <w:rFonts w:ascii="Arial" w:hAnsi="Arial" w:cs="Arial"/>
          <w:i/>
          <w:iCs/>
          <w:color w:val="000000" w:themeColor="text1"/>
          <w:sz w:val="24"/>
          <w:szCs w:val="32"/>
        </w:rPr>
        <w:t>Epo</w:t>
      </w:r>
      <w:r>
        <w:rPr>
          <w:rFonts w:ascii="Arial" w:hAnsi="Arial" w:cs="Arial"/>
          <w:color w:val="000000" w:themeColor="text1"/>
          <w:sz w:val="24"/>
          <w:szCs w:val="32"/>
        </w:rPr>
        <w:t>-gene reporter mice and single cell transcriptome analyses, we</w:t>
      </w:r>
      <w:r w:rsidR="00CE1AD0">
        <w:rPr>
          <w:rFonts w:ascii="Arial" w:hAnsi="Arial" w:cs="Arial"/>
          <w:color w:val="000000" w:themeColor="text1"/>
          <w:sz w:val="24"/>
          <w:szCs w:val="32"/>
        </w:rPr>
        <w:t xml:space="preserve"> have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identified the proper subset responsible for EPO production</w:t>
      </w:r>
      <w:r w:rsidR="00480A84">
        <w:rPr>
          <w:rFonts w:ascii="Arial" w:hAnsi="Arial" w:cs="Arial"/>
          <w:color w:val="000000" w:themeColor="text1"/>
          <w:sz w:val="24"/>
          <w:szCs w:val="32"/>
        </w:rPr>
        <w:t>. This subset exhibits inflammation-related phenotypes and loses EPO-producing ability along with its cellular differentiation. In fibrotic kidney, the subset is resistant to myofibroblast transformation and can re-produce EPO in response to HIF-prolyl hydroxylase inhibitors, which are used for treating renal anemia.</w:t>
      </w:r>
      <w:r>
        <w:rPr>
          <w:rFonts w:ascii="Arial" w:hAnsi="Arial" w:cs="Arial"/>
          <w:color w:val="000000" w:themeColor="text1"/>
          <w:sz w:val="24"/>
          <w:szCs w:val="32"/>
        </w:rPr>
        <w:t xml:space="preserve"> Remarkably, </w:t>
      </w:r>
      <w:r w:rsidR="00EC7C14">
        <w:rPr>
          <w:rFonts w:ascii="Arial" w:hAnsi="Arial" w:cs="Arial"/>
          <w:color w:val="000000" w:themeColor="text1"/>
          <w:sz w:val="24"/>
          <w:szCs w:val="32"/>
        </w:rPr>
        <w:t>w</w:t>
      </w:r>
      <w:r>
        <w:rPr>
          <w:rFonts w:ascii="Arial" w:hAnsi="Arial" w:cs="Arial"/>
          <w:color w:val="000000" w:themeColor="text1"/>
          <w:sz w:val="24"/>
          <w:szCs w:val="32"/>
        </w:rPr>
        <w:t>e</w:t>
      </w:r>
      <w:r w:rsidR="00EC7C14">
        <w:rPr>
          <w:rFonts w:ascii="Arial" w:hAnsi="Arial" w:cs="Arial"/>
          <w:color w:val="000000" w:themeColor="text1"/>
          <w:sz w:val="24"/>
          <w:szCs w:val="32"/>
        </w:rPr>
        <w:t xml:space="preserve"> have</w:t>
      </w:r>
      <w:r>
        <w:rPr>
          <w:rFonts w:ascii="Arial" w:hAnsi="Arial" w:cs="Arial"/>
          <w:color w:val="000000" w:themeColor="text1"/>
          <w:sz w:val="24"/>
          <w:szCs w:val="22"/>
        </w:rPr>
        <w:t xml:space="preserve"> identified</w:t>
      </w:r>
      <w:r w:rsidR="00EC7C14">
        <w:rPr>
          <w:rFonts w:ascii="Arial" w:hAnsi="Arial" w:cs="Arial"/>
          <w:color w:val="000000" w:themeColor="text1"/>
          <w:sz w:val="24"/>
          <w:szCs w:val="22"/>
        </w:rPr>
        <w:t xml:space="preserve"> a</w:t>
      </w:r>
      <w:r>
        <w:rPr>
          <w:rFonts w:ascii="Arial" w:hAnsi="Arial" w:cs="Arial"/>
          <w:color w:val="000000" w:themeColor="text1"/>
          <w:sz w:val="24"/>
          <w:szCs w:val="22"/>
        </w:rPr>
        <w:t xml:space="preserve"> novel </w:t>
      </w:r>
      <w:r w:rsidR="00EC7C14">
        <w:rPr>
          <w:rFonts w:ascii="Arial" w:hAnsi="Arial" w:cs="Arial"/>
          <w:color w:val="000000" w:themeColor="text1"/>
          <w:sz w:val="24"/>
          <w:szCs w:val="22"/>
        </w:rPr>
        <w:t>marker</w:t>
      </w:r>
      <w:r w:rsidR="00480A84">
        <w:rPr>
          <w:rFonts w:ascii="Arial" w:hAnsi="Arial" w:cs="Arial"/>
          <w:color w:val="000000" w:themeColor="text1"/>
          <w:sz w:val="24"/>
          <w:szCs w:val="22"/>
        </w:rPr>
        <w:t xml:space="preserve"> allowing for the isolation of this subset without reporter models.</w:t>
      </w:r>
      <w:r>
        <w:rPr>
          <w:rFonts w:ascii="Arial" w:hAnsi="Arial" w:cs="Arial" w:hint="eastAsia"/>
          <w:color w:val="000000" w:themeColor="text1"/>
          <w:sz w:val="24"/>
          <w:szCs w:val="32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32"/>
        </w:rPr>
        <w:t>These findings provide new insights into roles of REP cells and contribute to advancement of research on renal anemia and renal fibrosis.</w:t>
      </w:r>
    </w:p>
    <w:sectPr w:rsidR="00904012" w:rsidRPr="000037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29"/>
    <w:rsid w:val="00003729"/>
    <w:rsid w:val="000E69AB"/>
    <w:rsid w:val="00426079"/>
    <w:rsid w:val="004462CB"/>
    <w:rsid w:val="00480A84"/>
    <w:rsid w:val="00541FDA"/>
    <w:rsid w:val="00561C9B"/>
    <w:rsid w:val="0074556A"/>
    <w:rsid w:val="008F71BA"/>
    <w:rsid w:val="00904012"/>
    <w:rsid w:val="00933B33"/>
    <w:rsid w:val="00944F14"/>
    <w:rsid w:val="00CE1AD0"/>
    <w:rsid w:val="00EC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76FA1F"/>
  <w15:chartTrackingRefBased/>
  <w15:docId w15:val="{5BFC0D20-4ED7-6349-B82C-B4621E6A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琢 中井</dc:creator>
  <cp:keywords/>
  <dc:description/>
  <cp:lastModifiedBy>琢 中井</cp:lastModifiedBy>
  <cp:revision>11</cp:revision>
  <dcterms:created xsi:type="dcterms:W3CDTF">2024-04-01T08:56:00Z</dcterms:created>
  <dcterms:modified xsi:type="dcterms:W3CDTF">2024-04-01T23:08:00Z</dcterms:modified>
</cp:coreProperties>
</file>