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03" w:rsidRDefault="00BE7F03" w:rsidP="00BE7F03">
      <w:pPr>
        <w:jc w:val="center"/>
        <w:rPr>
          <w:rFonts w:ascii="Arial" w:hAnsi="Arial" w:cs="Arial"/>
          <w:b/>
        </w:rPr>
      </w:pPr>
      <w:r w:rsidRPr="00C86A80">
        <w:rPr>
          <w:rFonts w:ascii="Arial" w:hAnsi="Arial" w:cs="Arial"/>
          <w:b/>
        </w:rPr>
        <w:t xml:space="preserve">The mitochondrial Na+/Ca2+ exchanger NCLX </w:t>
      </w:r>
      <w:r w:rsidR="006E390C">
        <w:rPr>
          <w:rFonts w:ascii="Arial" w:hAnsi="Arial" w:cs="Arial"/>
          <w:b/>
        </w:rPr>
        <w:br/>
      </w:r>
      <w:r w:rsidRPr="00C86A80">
        <w:rPr>
          <w:rFonts w:ascii="Arial" w:hAnsi="Arial" w:cs="Arial"/>
          <w:b/>
        </w:rPr>
        <w:t>is implied in the activation of hypoxia-inducible factors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br/>
        <w:t xml:space="preserve">a link between acute and </w:t>
      </w:r>
      <w:r w:rsidR="006E390C">
        <w:rPr>
          <w:rFonts w:ascii="Arial" w:hAnsi="Arial" w:cs="Arial"/>
          <w:b/>
        </w:rPr>
        <w:t>HIF-mediated</w:t>
      </w:r>
      <w:r>
        <w:rPr>
          <w:rFonts w:ascii="Arial" w:hAnsi="Arial" w:cs="Arial"/>
          <w:b/>
        </w:rPr>
        <w:t xml:space="preserve"> hypoxia responses?</w:t>
      </w:r>
    </w:p>
    <w:p w:rsidR="003A7218" w:rsidRDefault="003A7218">
      <w:pPr>
        <w:rPr>
          <w:rFonts w:ascii="Arial" w:hAnsi="Arial" w:cs="Arial"/>
        </w:rPr>
      </w:pPr>
    </w:p>
    <w:p w:rsidR="00BE7F03" w:rsidRDefault="00BE7F03" w:rsidP="00BE7F03">
      <w:pPr>
        <w:rPr>
          <w:rFonts w:ascii="Arial" w:hAnsi="Arial" w:cs="Arial"/>
          <w:bCs/>
          <w:lang w:val="es-ES"/>
        </w:rPr>
      </w:pPr>
      <w:r w:rsidRPr="005931B8">
        <w:rPr>
          <w:rFonts w:ascii="Arial" w:hAnsi="Arial" w:cs="Arial"/>
          <w:bCs/>
          <w:lang w:val="es-ES"/>
        </w:rPr>
        <w:t>Carmen Choya-Foces</w:t>
      </w:r>
      <w:r w:rsidRPr="000F59D1">
        <w:rPr>
          <w:rFonts w:ascii="Arial" w:hAnsi="Arial" w:cs="Arial"/>
          <w:bCs/>
          <w:vertAlign w:val="superscript"/>
          <w:lang w:val="es-ES"/>
        </w:rPr>
        <w:t>1</w:t>
      </w:r>
      <w:r w:rsidRPr="005931B8">
        <w:rPr>
          <w:rFonts w:ascii="Arial" w:hAnsi="Arial" w:cs="Arial"/>
          <w:bCs/>
          <w:lang w:val="es-ES"/>
        </w:rPr>
        <w:t>, Pablo Hernansanz-Agustín</w:t>
      </w:r>
      <w:r w:rsidRPr="001F7FD8">
        <w:rPr>
          <w:rFonts w:ascii="Arial" w:hAnsi="Arial" w:cs="Arial"/>
          <w:bCs/>
          <w:vertAlign w:val="superscript"/>
          <w:lang w:val="es-ES"/>
        </w:rPr>
        <w:t>1,2</w:t>
      </w:r>
      <w:r>
        <w:rPr>
          <w:rFonts w:ascii="Arial" w:hAnsi="Arial" w:cs="Arial"/>
          <w:bCs/>
          <w:lang w:val="es-ES"/>
        </w:rPr>
        <w:t>,</w:t>
      </w:r>
      <w:r w:rsidRPr="005931B8">
        <w:rPr>
          <w:rFonts w:ascii="Arial" w:hAnsi="Arial" w:cs="Arial"/>
          <w:bCs/>
          <w:lang w:val="es-ES"/>
        </w:rPr>
        <w:t xml:space="preserve"> </w:t>
      </w:r>
      <w:r w:rsidRPr="00BE7F03">
        <w:rPr>
          <w:rFonts w:ascii="Arial" w:hAnsi="Arial" w:cs="Arial"/>
          <w:bCs/>
          <w:u w:val="single"/>
          <w:lang w:val="es-ES"/>
        </w:rPr>
        <w:t>Antonio Martínez-Ruiz</w:t>
      </w:r>
      <w:r w:rsidRPr="001F7FD8">
        <w:rPr>
          <w:rFonts w:ascii="Arial" w:hAnsi="Arial" w:cs="Arial"/>
          <w:bCs/>
          <w:vertAlign w:val="superscript"/>
          <w:lang w:val="es-ES"/>
        </w:rPr>
        <w:t>1,</w:t>
      </w:r>
      <w:r>
        <w:rPr>
          <w:rFonts w:ascii="Arial" w:hAnsi="Arial" w:cs="Arial"/>
          <w:bCs/>
          <w:vertAlign w:val="superscript"/>
          <w:lang w:val="es-ES"/>
        </w:rPr>
        <w:t>3</w:t>
      </w:r>
    </w:p>
    <w:p w:rsidR="00BE7F03" w:rsidRDefault="00BE7F03" w:rsidP="00BE7F03">
      <w:pPr>
        <w:rPr>
          <w:rFonts w:ascii="Arial" w:hAnsi="Arial" w:cs="Arial"/>
          <w:bCs/>
          <w:lang w:val="es-ES"/>
        </w:rPr>
      </w:pPr>
      <w:r w:rsidRPr="001F7FD8">
        <w:rPr>
          <w:rFonts w:ascii="Arial" w:hAnsi="Arial" w:cs="Arial"/>
          <w:bCs/>
          <w:vertAlign w:val="superscript"/>
          <w:lang w:val="es-ES"/>
        </w:rPr>
        <w:t>1</w:t>
      </w:r>
      <w:r>
        <w:rPr>
          <w:rFonts w:ascii="Arial" w:hAnsi="Arial" w:cs="Arial"/>
          <w:bCs/>
          <w:lang w:val="es-ES"/>
        </w:rPr>
        <w:t xml:space="preserve">Unidad de Investigación, Hospital Universitario Santa Cristina, Instituto de Investigación Sanitaria Princesa (IIS-IP), Madrid, Spain. </w:t>
      </w:r>
    </w:p>
    <w:p w:rsidR="00BE7F03" w:rsidRDefault="00BE7F03" w:rsidP="00BE7F03">
      <w:pPr>
        <w:rPr>
          <w:rFonts w:ascii="Arial" w:hAnsi="Arial" w:cs="Arial"/>
          <w:bCs/>
          <w:lang w:val="es-ES"/>
        </w:rPr>
      </w:pPr>
      <w:r w:rsidRPr="001F7FD8">
        <w:rPr>
          <w:rFonts w:ascii="Arial" w:hAnsi="Arial" w:cs="Arial"/>
          <w:bCs/>
          <w:vertAlign w:val="superscript"/>
          <w:lang w:val="es-ES"/>
        </w:rPr>
        <w:t>2</w:t>
      </w:r>
      <w:r>
        <w:rPr>
          <w:rFonts w:ascii="Arial" w:hAnsi="Arial" w:cs="Arial"/>
          <w:bCs/>
          <w:lang w:val="es-ES"/>
        </w:rPr>
        <w:t>Centro Nacional de Investigaciones Cardiovasculares Carlos III (CNIC), Madrid, Spain.</w:t>
      </w:r>
    </w:p>
    <w:p w:rsidR="00BE7F03" w:rsidRDefault="00BE7F03" w:rsidP="00BE7F03">
      <w:pPr>
        <w:rPr>
          <w:rFonts w:ascii="Arial" w:hAnsi="Arial" w:cs="Arial"/>
          <w:bCs/>
          <w:lang w:val="es-ES"/>
        </w:rPr>
      </w:pPr>
      <w:r w:rsidRPr="001F7FD8">
        <w:rPr>
          <w:rFonts w:ascii="Arial" w:hAnsi="Arial" w:cs="Arial"/>
          <w:bCs/>
          <w:vertAlign w:val="superscript"/>
          <w:lang w:val="es-ES"/>
        </w:rPr>
        <w:t>n</w:t>
      </w:r>
      <w:r>
        <w:rPr>
          <w:rFonts w:ascii="Arial" w:hAnsi="Arial" w:cs="Arial"/>
          <w:bCs/>
          <w:lang w:val="es-ES"/>
        </w:rPr>
        <w:t>Departamento de Bioquímica y Biología Molecular, Facultad de Farmacia, Universidad Complutense de Madrid (UCM), Madrid, Spain.</w:t>
      </w:r>
    </w:p>
    <w:p w:rsidR="00BE7F03" w:rsidRDefault="00BE7F03">
      <w:pPr>
        <w:rPr>
          <w:rFonts w:ascii="Arial" w:hAnsi="Arial" w:cs="Arial"/>
          <w:lang w:val="es-ES"/>
        </w:rPr>
      </w:pPr>
    </w:p>
    <w:p w:rsidR="006E390C" w:rsidRDefault="00BE7F03" w:rsidP="00BE7F03">
      <w:pPr>
        <w:jc w:val="both"/>
        <w:rPr>
          <w:rFonts w:ascii="Arial" w:hAnsi="Arial" w:cs="Arial"/>
          <w:bCs/>
        </w:rPr>
      </w:pPr>
      <w:bookmarkStart w:id="0" w:name="_GoBack"/>
      <w:r w:rsidRPr="003E46B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Eukaryotic cells and organisms depend on oxygen for basic living functions, and they display a panoply of adaptations to situations in which oxygen availability is diminished (hypoxia). A number of these responses in animals are mediated by changes in gene expression programs directed by hypoxia-inducible factors (HIFs), whose main mechanism of stabilization and functional activation in response to decreased cytosolic oxygen concentration was elucidated two decades ago. </w:t>
      </w:r>
    </w:p>
    <w:p w:rsidR="00BE7F03" w:rsidRPr="00242572" w:rsidRDefault="006E390C" w:rsidP="006E390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BE7F03">
        <w:rPr>
          <w:rFonts w:ascii="Arial" w:hAnsi="Arial" w:cs="Arial"/>
          <w:bCs/>
        </w:rPr>
        <w:t xml:space="preserve">Human acute responses to hypoxia have been known for decades, although their precise molecular mechanism for oxygen sensing is not fully understood. It is already known that a redox component, linked with reactive oxygen species (ROS) production of mitochondrial origin, is implied in these acute responses. We have recently described a mechanism by which the mitochondrial sodium/calcium exchanger, NCLX, participates in mitochondrial electron transport chain regulation and ROS production in response to acute hypoxia (Hernansanz-Agustín et al. 2020, </w:t>
      </w:r>
      <w:r w:rsidR="00BE7F03" w:rsidRPr="00BE7F03">
        <w:rPr>
          <w:rFonts w:ascii="Arial" w:hAnsi="Arial" w:cs="Arial"/>
          <w:bCs/>
        </w:rPr>
        <w:t>Nature 586</w:t>
      </w:r>
      <w:r w:rsidR="00BE7F03">
        <w:rPr>
          <w:rFonts w:ascii="Arial" w:hAnsi="Arial" w:cs="Arial"/>
          <w:bCs/>
        </w:rPr>
        <w:t>:</w:t>
      </w:r>
      <w:r w:rsidR="00BE7F03" w:rsidRPr="00BE7F03">
        <w:rPr>
          <w:rFonts w:ascii="Arial" w:hAnsi="Arial" w:cs="Arial"/>
          <w:bCs/>
        </w:rPr>
        <w:t xml:space="preserve">287–291 </w:t>
      </w:r>
      <w:hyperlink r:id="rId7" w:history="1">
        <w:r w:rsidR="00BE7F03" w:rsidRPr="00061D00">
          <w:rPr>
            <w:rStyle w:val="Hipervnculo"/>
            <w:rFonts w:ascii="Arial" w:hAnsi="Arial" w:cs="Arial"/>
            <w:bCs/>
          </w:rPr>
          <w:t>https://doi.org/10.1038/s41586-020-2551-y</w:t>
        </w:r>
      </w:hyperlink>
      <w:r w:rsidR="00BE7F03">
        <w:rPr>
          <w:rFonts w:ascii="Arial" w:hAnsi="Arial" w:cs="Arial"/>
          <w:bCs/>
        </w:rPr>
        <w:t xml:space="preserve">). </w:t>
      </w:r>
    </w:p>
    <w:p w:rsidR="00BE7F03" w:rsidRDefault="006E390C" w:rsidP="006E390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BE7F03">
        <w:rPr>
          <w:rFonts w:ascii="Arial" w:hAnsi="Arial" w:cs="Arial"/>
          <w:bCs/>
        </w:rPr>
        <w:t xml:space="preserve">Now we </w:t>
      </w:r>
      <w:r>
        <w:rPr>
          <w:rFonts w:ascii="Arial" w:hAnsi="Arial" w:cs="Arial"/>
          <w:bCs/>
        </w:rPr>
        <w:t xml:space="preserve">describe </w:t>
      </w:r>
      <w:r w:rsidR="00BE7F03">
        <w:rPr>
          <w:rFonts w:ascii="Arial" w:hAnsi="Arial" w:cs="Arial"/>
          <w:bCs/>
        </w:rPr>
        <w:t xml:space="preserve">that NCLX is also implied in the response to hypoxia mediated by the HIFs. By using NCLX inhibitor and interference RNA we show that NCLX activity is necessary for HIF-α subunits stabilization in hypoxia and for HIF-1-dependent transcriptional activity. We also </w:t>
      </w:r>
      <w:r>
        <w:rPr>
          <w:rFonts w:ascii="Arial" w:hAnsi="Arial" w:cs="Arial"/>
          <w:bCs/>
        </w:rPr>
        <w:t>show</w:t>
      </w:r>
      <w:r w:rsidR="00BE7F03">
        <w:rPr>
          <w:rFonts w:ascii="Arial" w:hAnsi="Arial" w:cs="Arial"/>
          <w:bCs/>
        </w:rPr>
        <w:t xml:space="preserve"> that hypoxic mitochondrial ROS production is not required for HIF-α stabilization under all circumstances, suggesting that other mechanism(s) could be operating in the NCLX-mediated response to hypoxia that operates through HIF-α stabilization. This finding provides a link between acute and medium-term responses to hypoxia, reinforcing a central role of mitochondrial cell signalling in the response to hypoxia.</w:t>
      </w:r>
    </w:p>
    <w:bookmarkEnd w:id="0"/>
    <w:p w:rsidR="00BE7F03" w:rsidRPr="00BE7F03" w:rsidRDefault="00BE7F03">
      <w:pPr>
        <w:rPr>
          <w:rFonts w:ascii="Arial" w:hAnsi="Arial" w:cs="Arial"/>
        </w:rPr>
      </w:pPr>
    </w:p>
    <w:sectPr w:rsidR="00BE7F03" w:rsidRPr="00BE7F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A3C" w:rsidRDefault="008F7A3C" w:rsidP="00BE7F03">
      <w:pPr>
        <w:spacing w:after="0" w:line="240" w:lineRule="auto"/>
      </w:pPr>
      <w:r>
        <w:separator/>
      </w:r>
    </w:p>
  </w:endnote>
  <w:endnote w:type="continuationSeparator" w:id="0">
    <w:p w:rsidR="008F7A3C" w:rsidRDefault="008F7A3C" w:rsidP="00BE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A3C" w:rsidRDefault="008F7A3C" w:rsidP="00BE7F03">
      <w:pPr>
        <w:spacing w:after="0" w:line="240" w:lineRule="auto"/>
      </w:pPr>
      <w:r>
        <w:separator/>
      </w:r>
    </w:p>
  </w:footnote>
  <w:footnote w:type="continuationSeparator" w:id="0">
    <w:p w:rsidR="008F7A3C" w:rsidRDefault="008F7A3C" w:rsidP="00BE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E8"/>
    <w:rsid w:val="003A7218"/>
    <w:rsid w:val="006E390C"/>
    <w:rsid w:val="008F7A3C"/>
    <w:rsid w:val="00BE7F03"/>
    <w:rsid w:val="00EA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C4012"/>
  <w15:chartTrackingRefBased/>
  <w15:docId w15:val="{A656702E-2206-48E9-B9B9-2999EA10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F03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BE7F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7F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7F03"/>
    <w:rPr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7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7F03"/>
    <w:rPr>
      <w:rFonts w:ascii="Segoe UI" w:hAnsi="Segoe UI" w:cs="Segoe UI"/>
      <w:sz w:val="18"/>
      <w:szCs w:val="18"/>
      <w:lang w:val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7F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7F03"/>
    <w:rPr>
      <w:sz w:val="20"/>
      <w:szCs w:val="20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BE7F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E7F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38/s41586-020-2551-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15C80-6A93-45E5-A088-082E3062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</dc:creator>
  <cp:keywords/>
  <dc:description/>
  <cp:lastModifiedBy>AMR</cp:lastModifiedBy>
  <cp:revision>2</cp:revision>
  <dcterms:created xsi:type="dcterms:W3CDTF">2024-04-04T10:07:00Z</dcterms:created>
  <dcterms:modified xsi:type="dcterms:W3CDTF">2024-04-04T10:23:00Z</dcterms:modified>
</cp:coreProperties>
</file>